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6.1.6.SPH23</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Patch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2024-11-30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Ind w:w="113" w:type="dxa"/>
        <w:tblLook w:val="01E0"/>
      </w:tblPr>
      <w:tblGrid>
        <w:gridCol w:w="9640"/>
      </w:tblGrid>
      <w:tr>
        <w:tblPrEx>
          <w:tblW w:w="0" w:type="auto"/>
          <w:tblInd w:w="113" w:type="dxa"/>
          <w:tblLook w:val="01E0"/>
        </w:tblPrEx>
        <w:trPr>
          <w:trHeight w:val="634"/>
        </w:trPr>
        <w:tc>
          <w:tcPr>
            <w:tcW w:w="9640" w:type="dxa"/>
            <w:shd w:val="clear" w:color="auto" w:fill="auto"/>
          </w:tcPr>
          <w:p>
            <w:pPr>
              <w:pStyle w:val="Cover2"/>
              <w:widowControl w:val="0"/>
              <w:jc w:val="both"/>
            </w:pPr>
            <w:r>
              <w:rPr>
                <w:lang w:eastAsia="zh-CN"/>
              </w:rPr>
              <w:t>Security Declaration</w:t>
            </w:r>
          </w:p>
        </w:tc>
      </w:tr>
      <w:tr>
        <w:tblPrEx>
          <w:tblW w:w="0" w:type="auto"/>
          <w:tblInd w:w="113" w:type="dxa"/>
          <w:tblLook w:val="01E0"/>
        </w:tblPrEx>
        <w:trPr>
          <w:trHeight w:val="337"/>
        </w:trPr>
        <w:tc>
          <w:tcPr>
            <w:tcW w:w="9640"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Change History</w:t>
        </w:r>
        <w:r>
          <w:tab/>
        </w:r>
        <w:r>
          <w:fldChar w:fldCharType="begin"/>
        </w:r>
        <w:r>
          <w:instrText xml:space="preserve"> PAGEREF _Toc256000000 \h </w:instrText>
        </w:r>
        <w:r>
          <w:fldChar w:fldCharType="separate"/>
        </w:r>
        <w:r>
          <w:t>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Patch Overview</w:t>
        </w:r>
        <w:r>
          <w:tab/>
        </w:r>
        <w:r>
          <w:fldChar w:fldCharType="begin"/>
        </w:r>
        <w:r>
          <w:instrText xml:space="preserve"> PAGEREF _Toc256000001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2.1</w:t>
        </w:r>
        <w:r>
          <w:rPr>
            <w:rStyle w:val="Hyperlink"/>
            <w:snapToGrid w:val="0"/>
          </w:rPr>
          <w:t xml:space="preserve"> </w:t>
        </w:r>
        <w:r>
          <w:rPr>
            <w:rStyle w:val="Hyperlink"/>
          </w:rPr>
          <w:t>Basic Information</w:t>
        </w:r>
        <w:r>
          <w:tab/>
        </w:r>
        <w:r>
          <w:fldChar w:fldCharType="begin"/>
        </w:r>
        <w:r>
          <w:instrText xml:space="preserve"> PAGEREF _Toc256000002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2.2</w:t>
        </w:r>
        <w:r>
          <w:rPr>
            <w:rStyle w:val="Hyperlink"/>
            <w:snapToGrid w:val="0"/>
          </w:rPr>
          <w:t xml:space="preserve"> </w:t>
        </w:r>
        <w:r>
          <w:rPr>
            <w:rStyle w:val="Hyperlink"/>
          </w:rPr>
          <w:t>Impact of Patch Installation</w:t>
        </w:r>
        <w:r>
          <w:tab/>
        </w:r>
        <w:r>
          <w:fldChar w:fldCharType="begin"/>
        </w:r>
        <w:r>
          <w:instrText xml:space="preserve"> PAGEREF _Toc256000003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2.3</w:t>
        </w:r>
        <w:r>
          <w:rPr>
            <w:rStyle w:val="Hyperlink"/>
            <w:snapToGrid w:val="0"/>
          </w:rPr>
          <w:t xml:space="preserve"> </w:t>
        </w:r>
        <w:r>
          <w:rPr>
            <w:rStyle w:val="Hyperlink"/>
          </w:rPr>
          <w:t>Version Compatibility Requirements</w:t>
        </w:r>
        <w:r>
          <w:tab/>
        </w:r>
        <w:r>
          <w:fldChar w:fldCharType="begin"/>
        </w:r>
        <w:r>
          <w:instrText xml:space="preserve"> PAGEREF _Toc256000004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2.4</w:t>
        </w:r>
        <w:r>
          <w:rPr>
            <w:rStyle w:val="Hyperlink"/>
            <w:snapToGrid w:val="0"/>
          </w:rPr>
          <w:t xml:space="preserve"> </w:t>
        </w:r>
        <w:r>
          <w:rPr>
            <w:rStyle w:val="Hyperlink"/>
          </w:rPr>
          <w:t>Virus Scan Result</w:t>
        </w:r>
        <w:r>
          <w:tab/>
        </w:r>
        <w:r>
          <w:fldChar w:fldCharType="begin"/>
        </w:r>
        <w:r>
          <w:instrText xml:space="preserve"> PAGEREF _Toc256000005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6" w:history="1">
        <w:r>
          <w:rPr>
            <w:rStyle w:val="Hyperlink"/>
          </w:rPr>
          <w:t>3</w:t>
        </w:r>
        <w:r>
          <w:rPr>
            <w:rStyle w:val="Hyperlink"/>
          </w:rPr>
          <w:t xml:space="preserve"> </w:t>
        </w:r>
        <w:r>
          <w:rPr>
            <w:rStyle w:val="Hyperlink"/>
          </w:rPr>
          <w:t>Resolved Issues</w:t>
        </w:r>
        <w:r>
          <w:tab/>
        </w:r>
        <w:r>
          <w:fldChar w:fldCharType="begin"/>
        </w:r>
        <w:r>
          <w:instrText xml:space="preserve"> PAGEREF _Toc256000006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3.1</w:t>
        </w:r>
        <w:r>
          <w:rPr>
            <w:rStyle w:val="Hyperlink"/>
            <w:snapToGrid w:val="0"/>
          </w:rPr>
          <w:t xml:space="preserve"> </w:t>
        </w:r>
        <w:r>
          <w:rPr>
            <w:rStyle w:val="Hyperlink"/>
          </w:rPr>
          <w:t>SPH23 Resolved Issues</w:t>
        </w:r>
        <w:r>
          <w:tab/>
        </w:r>
        <w:r>
          <w:fldChar w:fldCharType="begin"/>
        </w:r>
        <w:r>
          <w:instrText xml:space="preserve"> PAGEREF _Toc256000007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8" w:history="1">
        <w:r>
          <w:rPr>
            <w:rStyle w:val="Hyperlink"/>
            <w:snapToGrid w:val="0"/>
          </w:rPr>
          <w:t>3.2</w:t>
        </w:r>
        <w:r>
          <w:rPr>
            <w:rStyle w:val="Hyperlink"/>
            <w:snapToGrid w:val="0"/>
          </w:rPr>
          <w:t xml:space="preserve"> </w:t>
        </w:r>
        <w:r>
          <w:rPr>
            <w:rStyle w:val="Hyperlink"/>
          </w:rPr>
          <w:t>SPH22 Resolved Issues</w:t>
        </w:r>
        <w:r>
          <w:tab/>
        </w:r>
        <w:r>
          <w:fldChar w:fldCharType="begin"/>
        </w:r>
        <w:r>
          <w:instrText xml:space="preserve"> PAGEREF _Toc256000008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3.3</w:t>
        </w:r>
        <w:r>
          <w:rPr>
            <w:rStyle w:val="Hyperlink"/>
            <w:snapToGrid w:val="0"/>
          </w:rPr>
          <w:t xml:space="preserve"> </w:t>
        </w:r>
        <w:r>
          <w:rPr>
            <w:rStyle w:val="Hyperlink"/>
          </w:rPr>
          <w:t>SPH20 Resolved Issues</w:t>
        </w:r>
        <w:r>
          <w:tab/>
        </w:r>
        <w:r>
          <w:fldChar w:fldCharType="begin"/>
        </w:r>
        <w:r>
          <w:instrText xml:space="preserve"> PAGEREF _Toc256000009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3.4</w:t>
        </w:r>
        <w:r>
          <w:rPr>
            <w:rStyle w:val="Hyperlink"/>
            <w:snapToGrid w:val="0"/>
          </w:rPr>
          <w:t xml:space="preserve"> </w:t>
        </w:r>
        <w:r>
          <w:rPr>
            <w:rStyle w:val="Hyperlink"/>
          </w:rPr>
          <w:t>SPH18 Resolved Issues</w:t>
        </w:r>
        <w:r>
          <w:tab/>
        </w:r>
        <w:r>
          <w:fldChar w:fldCharType="begin"/>
        </w:r>
        <w:r>
          <w:instrText xml:space="preserve"> PAGEREF _Toc256000010 \h </w:instrText>
        </w:r>
        <w:r>
          <w:fldChar w:fldCharType="separate"/>
        </w:r>
        <w:r>
          <w:t>17</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3.5</w:t>
        </w:r>
        <w:r>
          <w:rPr>
            <w:rStyle w:val="Hyperlink"/>
            <w:snapToGrid w:val="0"/>
          </w:rPr>
          <w:t xml:space="preserve"> </w:t>
        </w:r>
        <w:r>
          <w:rPr>
            <w:rStyle w:val="Hyperlink"/>
          </w:rPr>
          <w:t>SPH17 Resolved Issues</w:t>
        </w:r>
        <w:r>
          <w:tab/>
        </w:r>
        <w:r>
          <w:fldChar w:fldCharType="begin"/>
        </w:r>
        <w:r>
          <w:instrText xml:space="preserve"> PAGEREF _Toc256000011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3.6</w:t>
        </w:r>
        <w:r>
          <w:rPr>
            <w:rStyle w:val="Hyperlink"/>
            <w:snapToGrid w:val="0"/>
          </w:rPr>
          <w:t xml:space="preserve"> </w:t>
        </w:r>
        <w:r>
          <w:rPr>
            <w:rStyle w:val="Hyperlink"/>
          </w:rPr>
          <w:t>SPH15 Resolved Issues</w:t>
        </w:r>
        <w:r>
          <w:tab/>
        </w:r>
        <w:r>
          <w:fldChar w:fldCharType="begin"/>
        </w:r>
        <w:r>
          <w:instrText xml:space="preserve"> PAGEREF _Toc256000012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3.7</w:t>
        </w:r>
        <w:r>
          <w:rPr>
            <w:rStyle w:val="Hyperlink"/>
            <w:snapToGrid w:val="0"/>
          </w:rPr>
          <w:t xml:space="preserve"> </w:t>
        </w:r>
        <w:r>
          <w:rPr>
            <w:rStyle w:val="Hyperlink"/>
          </w:rPr>
          <w:t>SPH10 Resolved Issues</w:t>
        </w:r>
        <w:r>
          <w:tab/>
        </w:r>
        <w:r>
          <w:fldChar w:fldCharType="begin"/>
        </w:r>
        <w:r>
          <w:instrText xml:space="preserve"> PAGEREF _Toc256000013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3.8</w:t>
        </w:r>
        <w:r>
          <w:rPr>
            <w:rStyle w:val="Hyperlink"/>
            <w:snapToGrid w:val="0"/>
          </w:rPr>
          <w:t xml:space="preserve"> </w:t>
        </w:r>
        <w:r>
          <w:rPr>
            <w:rStyle w:val="Hyperlink"/>
          </w:rPr>
          <w:t>SPH7 Resolved Issues</w:t>
        </w:r>
        <w:r>
          <w:tab/>
        </w:r>
        <w:r>
          <w:fldChar w:fldCharType="begin"/>
        </w:r>
        <w:r>
          <w:instrText xml:space="preserve"> PAGEREF _Toc256000014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3.9</w:t>
        </w:r>
        <w:r>
          <w:rPr>
            <w:rStyle w:val="Hyperlink"/>
            <w:snapToGrid w:val="0"/>
          </w:rPr>
          <w:t xml:space="preserve"> </w:t>
        </w:r>
        <w:r>
          <w:rPr>
            <w:rStyle w:val="Hyperlink"/>
          </w:rPr>
          <w:t>SPH6 Resolved Issues</w:t>
        </w:r>
        <w:r>
          <w:tab/>
        </w:r>
        <w:r>
          <w:fldChar w:fldCharType="begin"/>
        </w:r>
        <w:r>
          <w:instrText xml:space="preserve"> PAGEREF _Toc256000015 \h </w:instrText>
        </w:r>
        <w:r>
          <w:fldChar w:fldCharType="separate"/>
        </w:r>
        <w:r>
          <w:t>39</w:t>
        </w:r>
        <w:r>
          <w:fldChar w:fldCharType="end"/>
        </w:r>
      </w:hyperlink>
    </w:p>
    <w:p>
      <w:pPr>
        <w:pStyle w:val="TOC2"/>
        <w:tabs>
          <w:tab w:val="right" w:leader="dot" w:pos="9629"/>
        </w:tabs>
        <w:rPr>
          <w:rFonts w:ascii="Calibri" w:hAnsi="Calibri"/>
          <w:noProof/>
          <w:sz w:val="22"/>
        </w:rPr>
      </w:pPr>
      <w:hyperlink w:anchor="_Toc256000016" w:history="1">
        <w:r>
          <w:rPr>
            <w:rStyle w:val="Hyperlink"/>
            <w:snapToGrid w:val="0"/>
          </w:rPr>
          <w:t>3.10</w:t>
        </w:r>
        <w:r>
          <w:rPr>
            <w:rStyle w:val="Hyperlink"/>
            <w:snapToGrid w:val="0"/>
          </w:rPr>
          <w:t xml:space="preserve"> </w:t>
        </w:r>
        <w:r>
          <w:rPr>
            <w:rStyle w:val="Hyperlink"/>
          </w:rPr>
          <w:t>SPH3 Resolved Issues</w:t>
        </w:r>
        <w:r>
          <w:tab/>
        </w:r>
        <w:r>
          <w:fldChar w:fldCharType="begin"/>
        </w:r>
        <w:r>
          <w:instrText xml:space="preserve"> PAGEREF _Toc256000016 \h </w:instrText>
        </w:r>
        <w:r>
          <w:fldChar w:fldCharType="separate"/>
        </w:r>
        <w:r>
          <w:t>42</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3.11</w:t>
        </w:r>
        <w:r>
          <w:rPr>
            <w:rStyle w:val="Hyperlink"/>
            <w:snapToGrid w:val="0"/>
          </w:rPr>
          <w:t xml:space="preserve"> </w:t>
        </w:r>
        <w:r>
          <w:rPr>
            <w:rStyle w:val="Hyperlink"/>
          </w:rPr>
          <w:t>SPH2 Resolved Issues</w:t>
        </w:r>
        <w:r>
          <w:tab/>
        </w:r>
        <w:r>
          <w:fldChar w:fldCharType="begin"/>
        </w:r>
        <w:r>
          <w:instrText xml:space="preserve"> PAGEREF _Toc256000017 \h </w:instrText>
        </w:r>
        <w:r>
          <w:fldChar w:fldCharType="separate"/>
        </w:r>
        <w:r>
          <w:t>43</w:t>
        </w:r>
        <w:r>
          <w:fldChar w:fldCharType="end"/>
        </w:r>
      </w:hyperlink>
    </w:p>
    <w:p>
      <w:pPr>
        <w:pStyle w:val="TOC1"/>
        <w:tabs>
          <w:tab w:val="right" w:leader="dot" w:pos="9629"/>
        </w:tabs>
        <w:rPr>
          <w:rFonts w:ascii="Calibri" w:hAnsi="Calibri"/>
          <w:noProof/>
          <w:sz w:val="22"/>
        </w:rPr>
      </w:pPr>
      <w:hyperlink w:anchor="_Toc256000018" w:history="1">
        <w:r>
          <w:rPr>
            <w:rStyle w:val="Hyperlink"/>
          </w:rPr>
          <w:t>4</w:t>
        </w:r>
        <w:r>
          <w:rPr>
            <w:rStyle w:val="Hyperlink"/>
          </w:rPr>
          <w:t xml:space="preserve"> </w:t>
        </w:r>
        <w:r>
          <w:rPr>
            <w:rStyle w:val="Hyperlink"/>
          </w:rPr>
          <w:t>Third-Party Software Vulnerability Fixes</w:t>
        </w:r>
        <w:r>
          <w:tab/>
        </w:r>
        <w:r>
          <w:fldChar w:fldCharType="begin"/>
        </w:r>
        <w:r>
          <w:instrText xml:space="preserve"> PAGEREF _Toc256000018 \h </w:instrText>
        </w:r>
        <w:r>
          <w:fldChar w:fldCharType="separate"/>
        </w:r>
        <w:r>
          <w:t>45</w:t>
        </w:r>
        <w:r>
          <w:fldChar w:fldCharType="end"/>
        </w:r>
      </w:hyperlink>
    </w:p>
    <w:p>
      <w:pPr>
        <w:pStyle w:val="TOC1"/>
        <w:tabs>
          <w:tab w:val="right" w:leader="dot" w:pos="9629"/>
        </w:tabs>
        <w:sectPr>
          <w:headerReference w:type="even" r:id="rId25"/>
          <w:headerReference w:type="default" r:id="rId26"/>
          <w:footerReference w:type="even" r:id="rId27"/>
          <w:footerReference w:type="default" r:id="rId28"/>
          <w:headerReference w:type="first" r:id="rId29"/>
          <w:type w:val="nextPage"/>
          <w:pgSz w:w="11907" w:h="16840" w:code="9"/>
          <w:pgMar w:top="1701" w:right="1134" w:bottom="1701" w:left="1134" w:header="567" w:footer="567" w:gutter="0"/>
          <w:pgNumType w:fmt="lowerRoman"/>
          <w:cols w:space="425"/>
          <w:docGrid w:linePitch="312"/>
        </w:sectPr>
      </w:pPr>
      <w:r>
        <w:fldChar w:fldCharType="end"/>
      </w:r>
    </w:p>
    <w:p>
      <w:pPr>
        <w:pStyle w:val="Heading1"/>
      </w:pPr>
      <w:bookmarkStart w:id="0" w:name="_EN-US_TOPIC_0000002124703141"/>
      <w:bookmarkEnd w:id="0"/>
      <w:bookmarkStart w:id="1" w:name="_EN-US_TOPIC_0000002124703141-chtext"/>
      <w:bookmarkStart w:id="2" w:name="_Toc256000000"/>
      <w:r>
        <w:t>Change History</w:t>
      </w:r>
      <w:bookmarkEnd w:id="2"/>
      <w:bookmarkEnd w:id="1"/>
    </w:p>
    <w:tbl>
      <w:tblPr>
        <w:tblStyle w:val="Table"/>
        <w:tblW w:w="7938" w:type="dxa"/>
        <w:tblInd w:w="1814" w:type="dxa"/>
        <w:tblLayout w:type="fixed"/>
        <w:tblLook w:val="01E0"/>
      </w:tblPr>
      <w:tblGrid>
        <w:gridCol w:w="1364"/>
        <w:gridCol w:w="2967"/>
        <w:gridCol w:w="3607"/>
      </w:tblGrid>
      <w:tr>
        <w:tblPrEx>
          <w:tblW w:w="7938" w:type="dxa"/>
          <w:tblInd w:w="1814" w:type="dxa"/>
          <w:tblLayout w:type="fixed"/>
          <w:tblLook w:val="01E0"/>
        </w:tblPrEx>
        <w:trPr>
          <w:cantSplit w:val="0"/>
          <w:tblHeader/>
        </w:trPr>
        <w:tc>
          <w:tcPr>
            <w:tcW w:w="859"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1869"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27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859" w:type="pct"/>
            <w:tcBorders>
              <w:top w:val="single" w:sz="6" w:space="0" w:color="000000"/>
              <w:bottom w:val="single" w:sz="6" w:space="0" w:color="000000"/>
              <w:right w:val="single" w:sz="6" w:space="0" w:color="000000"/>
            </w:tcBorders>
          </w:tcPr>
          <w:p>
            <w:pPr>
              <w:pStyle w:val="TableText"/>
            </w:pPr>
            <w:r>
              <w:t>01</w:t>
            </w:r>
          </w:p>
        </w:tc>
        <w:tc>
          <w:tcPr>
            <w:tcW w:w="1869" w:type="pct"/>
            <w:tcBorders>
              <w:top w:val="single" w:sz="6" w:space="0" w:color="000000"/>
              <w:bottom w:val="single" w:sz="6" w:space="0" w:color="000000"/>
              <w:right w:val="single" w:sz="6" w:space="0" w:color="000000"/>
            </w:tcBorders>
          </w:tcPr>
          <w:p>
            <w:pPr>
              <w:pStyle w:val="TableText"/>
            </w:pPr>
            <w:r>
              <w:t>2024-11-30</w:t>
            </w:r>
          </w:p>
        </w:tc>
        <w:tc>
          <w:tcPr>
            <w:tcW w:w="2273" w:type="pct"/>
            <w:tcBorders>
              <w:top w:val="single" w:sz="6" w:space="0" w:color="000000"/>
              <w:bottom w:val="single" w:sz="6" w:space="0" w:color="000000"/>
            </w:tcBorders>
          </w:tcPr>
          <w:p>
            <w:pPr>
              <w:pStyle w:val="TableText"/>
            </w:pPr>
            <w:r>
              <w:t>This issue is the first official release.</w:t>
            </w:r>
          </w:p>
        </w:tc>
      </w:tr>
    </w:tbl>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bookmarkStart w:id="3" w:name="_EN-US_TOPIC_0000002089103884"/>
    <w:bookmarkEnd w:id="3"/>
    <w:p>
      <w:pPr>
        <w:pStyle w:val="Heading1"/>
      </w:pPr>
      <w:bookmarkStart w:id="4" w:name="_EN-US_TOPIC_0000002089103884-chtext"/>
      <w:bookmarkStart w:id="5" w:name="_Toc256000001"/>
      <w:r>
        <w:t>Patch Overview</w:t>
      </w:r>
      <w:bookmarkEnd w:id="5"/>
      <w:bookmarkEnd w:id="4"/>
    </w:p>
    <w:p>
      <w:hyperlink w:anchor="_EN-US_TOPIC_0000002124823437" w:tooltip=" " w:history="1">
        <w:r>
          <w:rPr>
            <w:rStyle w:val="Hyperlink"/>
          </w:rPr>
          <w:t>2.1  Basic Information</w:t>
        </w:r>
      </w:hyperlink>
    </w:p>
    <w:p>
      <w:hyperlink w:anchor="_EN-US_TOPIC_0000002089263764" w:tooltip=" " w:history="1">
        <w:r>
          <w:rPr>
            <w:rStyle w:val="Hyperlink"/>
          </w:rPr>
          <w:t>2.2  Impact of Patch Installation</w:t>
        </w:r>
      </w:hyperlink>
    </w:p>
    <w:p>
      <w:hyperlink w:anchor="_EN-US_TOPIC_0000002124823433" w:tooltip=" " w:history="1">
        <w:r>
          <w:rPr>
            <w:rStyle w:val="Hyperlink"/>
          </w:rPr>
          <w:t>2.3  Version Compatibility Requirements</w:t>
        </w:r>
      </w:hyperlink>
    </w:p>
    <w:p>
      <w:hyperlink w:anchor="_EN-US_TOPIC_0000002124703129" w:tooltip=" " w:history="1">
        <w:r>
          <w:rPr>
            <w:rStyle w:val="Hyperlink"/>
          </w:rPr>
          <w:t>2.4  Virus Scan Result</w:t>
        </w:r>
      </w:hyperlink>
    </w:p>
    <w:bookmarkStart w:id="6" w:name="_EN-US_TOPIC_0000002124823437"/>
    <w:bookmarkEnd w:id="6"/>
    <w:p>
      <w:pPr>
        <w:pStyle w:val="Heading2"/>
        <w:numPr>
          <w:numId w:val="44"/>
        </w:numPr>
      </w:pPr>
      <w:bookmarkStart w:id="7" w:name="_EN-US_TOPIC_0000002124823437-chtext"/>
      <w:bookmarkStart w:id="8" w:name="_Toc256000002"/>
      <w:r>
        <w:t>Basic Information</w:t>
      </w:r>
      <w:bookmarkEnd w:id="8"/>
      <w:bookmarkEnd w:id="7"/>
    </w:p>
    <w:p>
      <w:pPr>
        <w:pStyle w:val="TableDescription"/>
      </w:pPr>
      <w:r>
        <w:t>Basic information about OceanStor 6.1.6.SPH23</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99"/>
        <w:gridCol w:w="523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Patch Name</w:t>
            </w:r>
          </w:p>
        </w:tc>
        <w:tc>
          <w:tcPr>
            <w:tcW w:w="3300" w:type="pct"/>
            <w:tcBorders>
              <w:top w:val="single" w:sz="6" w:space="0" w:color="000000"/>
              <w:bottom w:val="single" w:sz="6" w:space="0" w:color="000000"/>
            </w:tcBorders>
          </w:tcPr>
          <w:p>
            <w:pPr>
              <w:pStyle w:val="TableText"/>
            </w:pPr>
            <w:r>
              <w:t>OceanStor 6.1.6.SPH23</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Product Version</w:t>
            </w:r>
          </w:p>
        </w:tc>
        <w:tc>
          <w:tcPr>
            <w:tcW w:w="3300" w:type="pct"/>
            <w:tcBorders>
              <w:top w:val="single" w:sz="6" w:space="0" w:color="000000"/>
              <w:bottom w:val="single" w:sz="6" w:space="0" w:color="000000"/>
            </w:tcBorders>
          </w:tcPr>
          <w:p>
            <w:pPr>
              <w:pStyle w:val="TableText"/>
            </w:pPr>
            <w:r>
              <w:t>OceanStor 6.1.6</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Release Date</w:t>
            </w:r>
          </w:p>
        </w:tc>
        <w:tc>
          <w:tcPr>
            <w:tcW w:w="3300" w:type="pct"/>
            <w:tcBorders>
              <w:top w:val="single" w:sz="6" w:space="0" w:color="000000"/>
              <w:bottom w:val="single" w:sz="6" w:space="0" w:color="000000"/>
            </w:tcBorders>
          </w:tcPr>
          <w:p>
            <w:pPr>
              <w:pStyle w:val="TableText"/>
            </w:pPr>
            <w:r>
              <w:t>2024-11-30</w:t>
            </w:r>
          </w:p>
        </w:tc>
      </w:tr>
      <w:tr>
        <w:tblPrEx>
          <w:tblW w:w="7938" w:type="dxa"/>
          <w:tblInd w:w="1814" w:type="dxa"/>
          <w:tblLayout w:type="fixed"/>
          <w:tblLook w:val="01E0"/>
        </w:tblPrEx>
        <w:trPr>
          <w:cantSplit w:val="0"/>
        </w:trPr>
        <w:tc>
          <w:tcPr>
            <w:tcW w:w="1700" w:type="pct"/>
            <w:tcBorders>
              <w:top w:val="single" w:sz="6" w:space="0" w:color="000000"/>
              <w:bottom w:val="single" w:sz="6" w:space="0" w:color="000000"/>
              <w:right w:val="single" w:sz="6" w:space="0" w:color="000000"/>
            </w:tcBorders>
          </w:tcPr>
          <w:p>
            <w:pPr>
              <w:pStyle w:val="TableText"/>
            </w:pPr>
            <w:r>
              <w:t>Compatibility with Other Patches</w:t>
            </w:r>
          </w:p>
        </w:tc>
        <w:tc>
          <w:tcPr>
            <w:tcW w:w="3300" w:type="pct"/>
            <w:tcBorders>
              <w:top w:val="single" w:sz="6" w:space="0" w:color="000000"/>
              <w:bottom w:val="single" w:sz="6" w:space="0" w:color="000000"/>
            </w:tcBorders>
          </w:tcPr>
          <w:p>
            <w:pPr>
              <w:pStyle w:val="TableText"/>
            </w:pPr>
            <w:r>
              <w:t>OceanStor 6.1.6.SPH22</w:t>
            </w:r>
          </w:p>
          <w:p>
            <w:pPr>
              <w:pStyle w:val="TableText"/>
            </w:pPr>
            <w:r>
              <w:t>OceanStor 6.1.5.SPH20</w:t>
            </w:r>
          </w:p>
          <w:p>
            <w:pPr>
              <w:pStyle w:val="TableText"/>
            </w:pPr>
            <w:r>
              <w:t>OceanStor 6.1.6.SPH18</w:t>
            </w:r>
          </w:p>
          <w:p>
            <w:pPr>
              <w:pStyle w:val="TableText"/>
            </w:pPr>
            <w:r>
              <w:t>OceanStor 6.1.6.SPH17</w:t>
            </w:r>
          </w:p>
          <w:p>
            <w:pPr>
              <w:pStyle w:val="TableText"/>
            </w:pPr>
            <w:r>
              <w:t>OceanStor 6.1.6.SPH15</w:t>
            </w:r>
          </w:p>
          <w:p>
            <w:pPr>
              <w:pStyle w:val="TableText"/>
            </w:pPr>
            <w:r>
              <w:t>OceanStor 6.1.6.SPH10</w:t>
            </w:r>
          </w:p>
          <w:p>
            <w:pPr>
              <w:pStyle w:val="TableText"/>
            </w:pPr>
            <w:r>
              <w:t>OceanStor 6.1.6.SPH7</w:t>
            </w:r>
          </w:p>
          <w:p>
            <w:pPr>
              <w:pStyle w:val="TableText"/>
            </w:pPr>
            <w:r>
              <w:t>OceanStor 6.1.6.SPH6</w:t>
            </w:r>
          </w:p>
          <w:p>
            <w:pPr>
              <w:pStyle w:val="TableText"/>
            </w:pPr>
            <w:r>
              <w:t>OceanStor 6.1.6.SPH3</w:t>
            </w:r>
          </w:p>
          <w:p>
            <w:pPr>
              <w:pStyle w:val="TableText"/>
            </w:pPr>
            <w:r>
              <w:t>OceanStor 6.1.6.SPH2</w:t>
            </w:r>
          </w:p>
        </w:tc>
      </w:tr>
    </w:tbl>
    <w:p/>
    <w:bookmarkStart w:id="9" w:name="_EN-US_TOPIC_0000002089263764"/>
    <w:bookmarkEnd w:id="9"/>
    <w:p>
      <w:pPr>
        <w:pStyle w:val="Heading2"/>
      </w:pPr>
      <w:bookmarkStart w:id="10" w:name="_EN-US_TOPIC_0000002089263764-chtext"/>
      <w:bookmarkStart w:id="11" w:name="_Toc256000003"/>
      <w:r>
        <w:t>Impact of Patch Installation</w:t>
      </w:r>
      <w:bookmarkEnd w:id="11"/>
      <w:bookmarkEnd w:id="10"/>
    </w:p>
    <w:p>
      <w:pPr>
        <w:pStyle w:val="BlockLabel"/>
      </w:pPr>
      <w:r>
        <w:t>Impact on the System During Installation</w:t>
      </w:r>
    </w:p>
    <w:p>
      <w:pPr>
        <w:pStyle w:val="ItemList"/>
      </w:pPr>
      <w:r>
        <w:rPr>
          <w:b/>
        </w:rPr>
        <w:t>Impact on services</w:t>
      </w:r>
      <w:r>
        <w:rPr>
          <w:b/>
        </w:rPr>
        <w:t xml:space="preserve">: </w:t>
      </w:r>
      <w:r>
        <w:t>Configuration operations on the storage system are prohibited (including REST or CLI configuration commands delivered by OpenStack Cinder, SMI-S, and other plug-in interfaces). Other services or operations are not affected.</w:t>
      </w:r>
    </w:p>
    <w:p>
      <w:pPr>
        <w:pStyle w:val="ItemList"/>
      </w:pPr>
      <w:r>
        <w:rPr>
          <w:b/>
        </w:rPr>
        <w:t xml:space="preserve">Impact on network communication: </w:t>
      </w:r>
      <w:r>
        <w:t>None</w:t>
      </w:r>
    </w:p>
    <w:p>
      <w:pPr>
        <w:pStyle w:val="BlockLabel"/>
      </w:pPr>
      <w:r>
        <w:t>Impact on the System After Installation</w:t>
      </w:r>
    </w:p>
    <w:p>
      <w:r>
        <w:t>None</w:t>
      </w:r>
    </w:p>
    <w:bookmarkStart w:id="12" w:name="_EN-US_TOPIC_0000002124823433"/>
    <w:bookmarkEnd w:id="12"/>
    <w:p>
      <w:pPr>
        <w:pStyle w:val="Heading2"/>
      </w:pPr>
      <w:bookmarkStart w:id="13" w:name="_EN-US_TOPIC_0000002124823433-chtext"/>
      <w:bookmarkStart w:id="14" w:name="_Toc256000004"/>
      <w:r>
        <w:t>Version Compatibility Requirements</w:t>
      </w:r>
      <w:bookmarkEnd w:id="14"/>
      <w:bookmarkEnd w:id="13"/>
    </w:p>
    <w:p>
      <w:r>
        <w:t>The mapping relationships are consistent with those of OceanStor 6.1.6.</w:t>
      </w:r>
    </w:p>
    <w:bookmarkStart w:id="15" w:name="_EN-US_TOPIC_0000002124703129"/>
    <w:bookmarkEnd w:id="15"/>
    <w:p>
      <w:pPr>
        <w:pStyle w:val="Heading2"/>
      </w:pPr>
      <w:bookmarkStart w:id="16" w:name="_EN-US_TOPIC_0000002124703129-chtext"/>
      <w:bookmarkStart w:id="17" w:name="_Toc256000005"/>
      <w:r>
        <w:t>Virus Scan Result</w:t>
      </w:r>
      <w:bookmarkEnd w:id="17"/>
      <w:bookmarkEnd w:id="16"/>
    </w:p>
    <w:p>
      <w:r>
        <w:t>The software package of OceanStor 6.1.6.SPH23 storage system has been scanned by Kav, Avira, and OSCE antivirus software.</w:t>
      </w:r>
    </w:p>
    <w:p>
      <w:r>
        <w:t>Table Virus scan result lists the scan result.</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Antivirus Software Name</w:t>
            </w:r>
          </w:p>
        </w:tc>
        <w:tc>
          <w:tcPr>
            <w:tcW w:w="2500" w:type="pct"/>
            <w:tcBorders>
              <w:top w:val="single" w:sz="6" w:space="0" w:color="000000"/>
              <w:bottom w:val="single" w:sz="6" w:space="0" w:color="000000"/>
            </w:tcBorders>
            <w:shd w:val="clear" w:color="auto" w:fill="D9D9D9"/>
          </w:tcPr>
          <w:p>
            <w:pPr>
              <w:pStyle w:val="TableHeading"/>
            </w:pPr>
            <w:r>
              <w:t>Result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Avira</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Kav</w:t>
            </w:r>
          </w:p>
        </w:tc>
        <w:tc>
          <w:tcPr>
            <w:tcW w:w="250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OSCE</w:t>
            </w:r>
          </w:p>
        </w:tc>
        <w:tc>
          <w:tcPr>
            <w:tcW w:w="2500" w:type="pct"/>
            <w:tcBorders>
              <w:top w:val="single" w:sz="6" w:space="0" w:color="000000"/>
              <w:bottom w:val="single" w:sz="6" w:space="0" w:color="000000"/>
            </w:tcBorders>
          </w:tcPr>
          <w:p>
            <w:pPr>
              <w:pStyle w:val="TableText"/>
            </w:pPr>
            <w:r>
              <w:t>OK</w:t>
            </w:r>
          </w:p>
        </w:tc>
      </w:tr>
    </w:tbl>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cols w:space="425"/>
          <w:docGrid w:linePitch="312"/>
        </w:sectPr>
      </w:pPr>
    </w:p>
    <w:bookmarkStart w:id="18" w:name="_EN-US_TOPIC_0000002089263772"/>
    <w:bookmarkEnd w:id="18"/>
    <w:p>
      <w:pPr>
        <w:pStyle w:val="Heading1"/>
      </w:pPr>
      <w:bookmarkStart w:id="19" w:name="_EN-US_TOPIC_0000002089263772-chtext"/>
      <w:bookmarkStart w:id="20" w:name="_Toc256000006"/>
      <w:r>
        <w:t>Resolved Issues</w:t>
      </w:r>
      <w:bookmarkEnd w:id="20"/>
      <w:bookmarkEnd w:id="19"/>
    </w:p>
    <w:p>
      <w:hyperlink w:anchor="_EN-US_TOPIC_0000002124736205" w:tooltip=" " w:history="1">
        <w:r>
          <w:rPr>
            <w:rStyle w:val="Hyperlink"/>
          </w:rPr>
          <w:t>3.1  SPH23 Resolved Issues</w:t>
        </w:r>
      </w:hyperlink>
    </w:p>
    <w:p>
      <w:hyperlink w:anchor="_EN-US_TOPIC_0000002124823441" w:tooltip=" " w:history="1">
        <w:r>
          <w:rPr>
            <w:rStyle w:val="Hyperlink"/>
          </w:rPr>
          <w:t>3.2  SPH22 Resolved Issues</w:t>
        </w:r>
      </w:hyperlink>
    </w:p>
    <w:p>
      <w:hyperlink w:anchor="_EN-US_TOPIC_0000002089263768" w:tooltip=" " w:history="1">
        <w:r>
          <w:rPr>
            <w:rStyle w:val="Hyperlink"/>
          </w:rPr>
          <w:t>3.3  SPH20 Resolved Issues</w:t>
        </w:r>
      </w:hyperlink>
    </w:p>
    <w:p>
      <w:hyperlink w:anchor="_EN-US_TOPIC_0000002124703137" w:tooltip=" " w:history="1">
        <w:r>
          <w:rPr>
            <w:rStyle w:val="Hyperlink"/>
          </w:rPr>
          <w:t>3.4  SPH18 Resolved Issues</w:t>
        </w:r>
      </w:hyperlink>
    </w:p>
    <w:p>
      <w:hyperlink w:anchor="_EN-US_TOPIC_0000002124703133" w:tooltip=" " w:history="1">
        <w:r>
          <w:rPr>
            <w:rStyle w:val="Hyperlink"/>
          </w:rPr>
          <w:t>3.5  SPH17 Resolved Issues</w:t>
        </w:r>
      </w:hyperlink>
    </w:p>
    <w:p>
      <w:hyperlink w:anchor="_EN-US_TOPIC_0000002089263760" w:tooltip=" " w:history="1">
        <w:r>
          <w:rPr>
            <w:rStyle w:val="Hyperlink"/>
          </w:rPr>
          <w:t>3.6  SPH15 Resolved Issues</w:t>
        </w:r>
      </w:hyperlink>
    </w:p>
    <w:p>
      <w:hyperlink w:anchor="_EN-US_TOPIC_0000002089263776" w:tooltip=" " w:history="1">
        <w:r>
          <w:rPr>
            <w:rStyle w:val="Hyperlink"/>
          </w:rPr>
          <w:t>3.7  SPH10 Resolved Issues</w:t>
        </w:r>
      </w:hyperlink>
    </w:p>
    <w:p>
      <w:hyperlink w:anchor="_EN-US_TOPIC_0000002089103876" w:tooltip=" " w:history="1">
        <w:r>
          <w:rPr>
            <w:rStyle w:val="Hyperlink"/>
          </w:rPr>
          <w:t>3.8  SPH7 Resolved Issues</w:t>
        </w:r>
      </w:hyperlink>
    </w:p>
    <w:p>
      <w:hyperlink w:anchor="_EN-US_TOPIC_0000002089103880" w:tooltip=" " w:history="1">
        <w:r>
          <w:rPr>
            <w:rStyle w:val="Hyperlink"/>
          </w:rPr>
          <w:t>3.9  SPH6 Resolved Issues</w:t>
        </w:r>
      </w:hyperlink>
    </w:p>
    <w:p>
      <w:hyperlink w:anchor="_EN-US_TOPIC_0000002089103872" w:tooltip=" " w:history="1">
        <w:r>
          <w:rPr>
            <w:rStyle w:val="Hyperlink"/>
          </w:rPr>
          <w:t>3.10  SPH3 Resolved Issues</w:t>
        </w:r>
      </w:hyperlink>
    </w:p>
    <w:p>
      <w:hyperlink w:anchor="_EN-US_TOPIC_0000002124823429" w:tooltip=" " w:history="1">
        <w:r>
          <w:rPr>
            <w:rStyle w:val="Hyperlink"/>
          </w:rPr>
          <w:t>3.11  SPH2 Resolved Issues</w:t>
        </w:r>
      </w:hyperlink>
    </w:p>
    <w:bookmarkStart w:id="21" w:name="_EN-US_TOPIC_0000002124736205"/>
    <w:bookmarkEnd w:id="21"/>
    <w:p>
      <w:pPr>
        <w:pStyle w:val="Heading2"/>
        <w:numPr>
          <w:numId w:val="49"/>
        </w:numPr>
      </w:pPr>
      <w:bookmarkStart w:id="22" w:name="_EN-US_TOPIC_0000002124736205-chtext"/>
      <w:bookmarkStart w:id="23" w:name="_Toc256000007"/>
      <w:r>
        <w:t>SPH23 Resolved Issues</w:t>
      </w:r>
      <w:bookmarkEnd w:id="23"/>
      <w:bookmarkEnd w:id="2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DTS2024111805872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Windows client versions, there is a possibility that file or directory changes cannot be updated in a timely manner in the case of multiple concurrent accesses or mounting of a share to multiple clients.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share is mounted to multiple clients or there are multiple concurrent operations on a single client.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client cannot update file or directory changes in a timely manner.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scenario of multiple concurrent operations, some notify requests are suppressed and are not replied to clients.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Resolve the problem that notify requests are suppressed in the scenario where multiple concurrent operations are performed.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DTS2024112255192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Ethernet port falsely reports the 100% usage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In SAN service scenarios, two or more logical IP addresses are created on an Ethernet port.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An alarm indicating that the usage of the Ethernet port is 100% is incorrectly reported on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Performance data collection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usage statistics are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usage statistics method.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DTS2024112560705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restarts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lock conflict occurs during simultaneous access using CIFS and 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storage controller resets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CIFS&amp;NFS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simultaneous access using CIFS and NFS, there is a low probability that a lock conflict occurs in the system. As a result, system resources are insufficient and the controller resets for self-healing.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lock conflict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4" w:name="_EN-US_TOPIC_0000002124823441"/>
    <w:bookmarkEnd w:id="24"/>
    <w:p>
      <w:pPr>
        <w:pStyle w:val="Heading2"/>
      </w:pPr>
      <w:bookmarkStart w:id="25" w:name="_EN-US_TOPIC_0000002124823441-chtext"/>
      <w:bookmarkStart w:id="26" w:name="_Toc256000008"/>
      <w:r>
        <w:t>SPH22 Resolved Issues</w:t>
      </w:r>
      <w:bookmarkEnd w:id="26"/>
      <w:bookmarkEnd w:id="25"/>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DTS2024101221517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Alarms indicating that the storage pool capacity is used up are reported, and host services are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specific type of disk is configured and deduplication tasks are running on the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calculated storage pool capacity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specific type of disk is configured and deduplication and compression tasks are executed, there is a possibility that the capacity is incorrectly calculated.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logic of capacity calculation.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DTS2024101117106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restarts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VM services are running at the upper layer.</w:t>
            </w:r>
          </w:p>
          <w:p>
            <w:pPr>
              <w:pStyle w:val="TableText"/>
            </w:pPr>
            <w:r>
              <w:t>2. A LUN snapshot is created and mapped to the host, and read and write are performed on the snapshot.</w:t>
            </w:r>
          </w:p>
          <w:p>
            <w:pPr>
              <w:pStyle w:val="TableText"/>
            </w:pPr>
            <w:r>
              <w:t>3. A snapshot is created on snapshot and fullcopy is performed for the source LUN of the snapshot.</w:t>
            </w:r>
          </w:p>
          <w:p>
            <w:pPr>
              <w:pStyle w:val="TableText"/>
            </w:pPr>
            <w:r>
              <w:t>There is a possibility that this problem occurs when the preceding conditions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controller restarts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circumstance that a snapshot is mapped to the host and fullcopy is performed on the source LUN of the snapshot, if read and write operations are performed on the same area, there is a possibility that the controller restarts due to a defect in the redirection read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redirection read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DTS2024101602930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Host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capacity of the SSD performance layer is used up.</w:t>
            </w:r>
          </w:p>
          <w:p>
            <w:pPr>
              <w:pStyle w:val="TableText"/>
            </w:pPr>
            <w:r>
              <w:t>2. The allocated chunk ID exceeds the preset range.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capacity of the SSD performance layer is used up, there is a possibility that an error occurs during chunk ID allocation. As a result,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allocating chunk IDs to prevent the allocated chunk IDs from exceeding the preset range.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DTS2024101505611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Services are interrupted for a short period of time during a fast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Process restart (for example, fast upgrade)</w:t>
            </w:r>
          </w:p>
          <w:p>
            <w:pPr>
              <w:pStyle w:val="TableText"/>
            </w:pPr>
            <w:r>
              <w:t>2. Capacity expansion of the performance layer</w:t>
            </w:r>
          </w:p>
          <w:p>
            <w:pPr>
              <w:pStyle w:val="TableText"/>
            </w:pPr>
            <w:r>
              <w:t>3. The used capacity of the storage pool is greater than the storage pool capacity before the performance layer quota is modified.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performance layer quota is modified, the capacity information is not updated. As a result, the capacity is abnormal for a short time during the quick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During the fast upgrade, refresh the capacity quota information of the performance layer.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DTS2024092629057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MAC address conflicts occur and the storage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interface module where a bond port is created and other interface modules are powered on and off alternately.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MAC address conflicts cause packet loss and service retransmission due to timeout.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interface module that is powered on first is allocated with the Ethernet port of another interface module, and the MAC address is overwritten.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updating the MAC address of the bond port.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DTS2024100905388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fullcopy pressure is high, resulting in slow response to host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service load is heavy, and a large number of fullcopy operations are performed.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Slow response to host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fullcopy concurrency pressure is high, and the host service pressure exceeds the storage system performance. As a result, the response to host services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traffic control mechanism of fullcopy to prevent slow response to host services due to the increase of concurrent fullcopy operations.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DTS2024092724023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Real-time detection of ransomware protection does not report alarms.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file system is mounted to a host using IPv6.</w:t>
            </w:r>
          </w:p>
          <w:p>
            <w:pPr>
              <w:pStyle w:val="TableText"/>
            </w:pPr>
            <w:r>
              <w:t>2. Ransomware files exist.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alarming function does not work.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HyperDetect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No ransomware detection alarm is generated when the IP address contains more than 31 characters.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Modify the IP address range.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DTS2024031100588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capacity is full but no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low probability that when the version is upgraded or NAS HyperMetro domain switchover is performed.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alarming function does not work.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Alarms are incorrectly cleared during the upgrade or HyperMetro domain switchover.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Resend alarms if alarms are cleared during the upgrade or HyperMetro domain switchover.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DTS2024100822285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the Air Gap scenario, when a remote replication LUN is not being backed up, the LUN capacity cannot be expanded using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storage system is interconnected with BCManager and the Air Gap function is enabled.</w:t>
            </w:r>
          </w:p>
          <w:p>
            <w:pPr>
              <w:pStyle w:val="TableText"/>
            </w:pPr>
            <w:r>
              <w:t>2. The capacity of the remote replication LUN is expanded.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capacity of the remote replication LUN cannot be expanded using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case of Air Gap disconnection, the LUN protection group information of the remote device cannot be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querying the status of a remote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DTS2024090709067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For CIFS shares, there is a low possibility that a client can add an exclusive lock on a file and other clients cannot read or write the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a client opens a file, adds an open lock to it without making read, write, or delete permissions, and rejects other clients to read and write the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Other clients cannot read or write the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permission flag of the open lock is marked based on the request of a client. If a client rejects the read and write operations of other clients, the exclusive flag is set even if this client does not request read, write, or delete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Do not grant exclusive lock to a client if the client does not request read, write, or delete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027"/>
        <w:gridCol w:w="5911"/>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Trouble Ticket Number</w:t>
            </w:r>
          </w:p>
        </w:tc>
        <w:tc>
          <w:tcPr>
            <w:tcW w:w="3724" w:type="pct"/>
            <w:tcBorders>
              <w:top w:val="single" w:sz="6" w:space="0" w:color="000000"/>
              <w:bottom w:val="single" w:sz="6" w:space="0" w:color="000000"/>
            </w:tcBorders>
          </w:tcPr>
          <w:p>
            <w:pPr>
              <w:pStyle w:val="TableText"/>
            </w:pPr>
            <w:r>
              <w:t>DTS2024091902265</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Description</w:t>
            </w:r>
          </w:p>
        </w:tc>
        <w:tc>
          <w:tcPr>
            <w:tcW w:w="3724" w:type="pct"/>
            <w:tcBorders>
              <w:top w:val="single" w:sz="6" w:space="0" w:color="000000"/>
              <w:bottom w:val="single" w:sz="6" w:space="0" w:color="000000"/>
            </w:tcBorders>
          </w:tcPr>
          <w:p>
            <w:pPr>
              <w:pStyle w:val="TableText"/>
            </w:pPr>
            <w:r>
              <w:t>The service latency is high.</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Condition</w:t>
            </w:r>
          </w:p>
        </w:tc>
        <w:tc>
          <w:tcPr>
            <w:tcW w:w="3724" w:type="pct"/>
            <w:tcBorders>
              <w:top w:val="single" w:sz="6" w:space="0" w:color="000000"/>
              <w:bottom w:val="single" w:sz="6" w:space="0" w:color="000000"/>
            </w:tcBorders>
          </w:tcPr>
          <w:p>
            <w:pPr>
              <w:pStyle w:val="TableText"/>
            </w:pPr>
            <w:r>
              <w:t>The SMB protocol is used for file migration.</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Impact</w:t>
            </w:r>
          </w:p>
        </w:tc>
        <w:tc>
          <w:tcPr>
            <w:tcW w:w="3724" w:type="pct"/>
            <w:tcBorders>
              <w:top w:val="single" w:sz="6" w:space="0" w:color="000000"/>
              <w:bottom w:val="single" w:sz="6" w:space="0" w:color="000000"/>
            </w:tcBorders>
          </w:tcPr>
          <w:p>
            <w:pPr>
              <w:pStyle w:val="TableText"/>
            </w:pPr>
            <w:r>
              <w:t>The performance deteriorates.</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Module</w:t>
            </w:r>
          </w:p>
        </w:tc>
        <w:tc>
          <w:tcPr>
            <w:tcW w:w="3724"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Severity</w:t>
            </w:r>
          </w:p>
        </w:tc>
        <w:tc>
          <w:tcPr>
            <w:tcW w:w="3724"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Root Cause</w:t>
            </w:r>
          </w:p>
        </w:tc>
        <w:tc>
          <w:tcPr>
            <w:tcW w:w="3724" w:type="pct"/>
            <w:tcBorders>
              <w:top w:val="single" w:sz="6" w:space="0" w:color="000000"/>
              <w:bottom w:val="single" w:sz="6" w:space="0" w:color="000000"/>
            </w:tcBorders>
          </w:tcPr>
          <w:p>
            <w:pPr>
              <w:pStyle w:val="TableText"/>
            </w:pPr>
            <w:r>
              <w:t>During file migration, the CPU usage for querying users is high. As a result, the performance is affected.</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Solution</w:t>
            </w:r>
          </w:p>
        </w:tc>
        <w:tc>
          <w:tcPr>
            <w:tcW w:w="3724" w:type="pct"/>
            <w:tcBorders>
              <w:top w:val="single" w:sz="6" w:space="0" w:color="000000"/>
              <w:bottom w:val="single" w:sz="6" w:space="0" w:color="000000"/>
            </w:tcBorders>
          </w:tcPr>
          <w:p>
            <w:pPr>
              <w:pStyle w:val="TableText"/>
            </w:pPr>
            <w:r>
              <w:t>Optimize the user query process.</w:t>
            </w:r>
          </w:p>
        </w:tc>
      </w:tr>
      <w:tr>
        <w:tblPrEx>
          <w:tblW w:w="7938" w:type="dxa"/>
          <w:tblInd w:w="1814" w:type="dxa"/>
          <w:tblLayout w:type="fixed"/>
          <w:tblLook w:val="01E0"/>
        </w:tblPrEx>
        <w:trPr>
          <w:cantSplit w:val="0"/>
        </w:trPr>
        <w:tc>
          <w:tcPr>
            <w:tcW w:w="1277" w:type="pct"/>
            <w:tcBorders>
              <w:top w:val="single" w:sz="6" w:space="0" w:color="000000"/>
              <w:bottom w:val="single" w:sz="6" w:space="0" w:color="000000"/>
              <w:right w:val="single" w:sz="6" w:space="0" w:color="000000"/>
            </w:tcBorders>
          </w:tcPr>
          <w:p>
            <w:pPr>
              <w:pStyle w:val="TableText"/>
            </w:pPr>
            <w:r>
              <w:t>Solution Impact</w:t>
            </w:r>
          </w:p>
        </w:tc>
        <w:tc>
          <w:tcPr>
            <w:tcW w:w="3724"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DTS2024061801320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Fibre Channel interface module is recovered.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On a replication link network, when the initiator delivers I/Os normally, the Fibre Channel port is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For high-end devices, interface module recovery is triggered on one controller. For mid-range and entry-level devices, single-port intermittent disconnection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scenario where the Fibre Channel proactively triggers disconnection, there is a low probability that the firmware identifies the disconnection as an exception. The firmware reports an AEQ event to trigger the interface module recovery.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processing logic in frequent intermittent disconnection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DTS2024100818447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the secondary end of NAS replication is continuously accessed, replication synchronization fails and host access exception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There is a low probability that this problem occurs when periodic synchronization is enabled for NAS remote replication and the secondary-end file system is continuously read.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Remote replication synchronization fails, and data access on the secondary end is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synchronization completion process of NAS remote replication is not properly processed, affecting I/O access of the secondary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synchronization process of NAS remote replication.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DTS2024101202957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large number of ARP packets are generated on the DTOE interface module, causing network congestion on the switch.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storage kernel version is 1.1.5 or later.</w:t>
            </w:r>
          </w:p>
          <w:p>
            <w:pPr>
              <w:pStyle w:val="TableText"/>
            </w:pPr>
            <w:r>
              <w:t>2. The service IP addresses used by the host to connect to the storage device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switch network is congested.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IP addresses become invalid, the kernel protocol stack notifies the DTOE driver. The DTOE driver sends an ARP packet again and an internal exception occurs. As a result, an ARP packet is generated for each IP address every second.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DTOE to check whether the link exists before sending an ARP packet. Add an upper limit for consecutive ARP packets.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27" w:name="_EN-US_TOPIC_0000002089263768"/>
    <w:bookmarkEnd w:id="27"/>
    <w:p>
      <w:pPr>
        <w:pStyle w:val="Heading2"/>
      </w:pPr>
      <w:bookmarkStart w:id="28" w:name="_EN-US_TOPIC_0000002089263768-chtext"/>
      <w:bookmarkStart w:id="29" w:name="_Toc256000009"/>
      <w:r>
        <w:t>SPH20 Resolved Issues</w:t>
      </w:r>
      <w:bookmarkEnd w:id="29"/>
      <w:bookmarkEnd w:id="28"/>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DTS2024062009109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For some HyperMetro LUNs, the host can scan only the paths to the storage system at one end of the HyperMetro pair.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Same Host LUN ID function is enabled (enabled by default) for HyperMetro.</w:t>
            </w:r>
          </w:p>
          <w:p>
            <w:pPr>
              <w:pStyle w:val="TableText"/>
            </w:pPr>
            <w:r>
              <w:t>2. Multiple LUNs are added to a LUN group.</w:t>
            </w:r>
          </w:p>
          <w:p>
            <w:pPr>
              <w:pStyle w:val="TableText"/>
            </w:pPr>
            <w:r>
              <w:t>3. There is a host LUN ID conflict between the two storage systems of the HyperMetro pair (local LUNs are configured at both ends of the HyperMetro pair).</w:t>
            </w:r>
          </w:p>
          <w:p>
            <w:pPr>
              <w:pStyle w:val="TableText"/>
            </w:pPr>
            <w:r>
              <w:t>4. The host is not an ESXi host.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path of a HyperMetro LUN at one end cannot be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SCSI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automatic allocation logic is defective, failing to process the conflict. As a result, duplicate host LUN IDs are allocated in specific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Update the allocation logic so that host LUN IDs are allocated by type instead of the read sequence.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DTS2024072323225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On DeviceManager, some controllers report alarms indicating that the CPU usage is excessively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the host service load is light, background deduplication tasks run at a high speed.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On DeviceManager, controller CPU overload alarms are frequently reported. If an alarm monitoring platform is configured, alarms indicating that the CPU usage is excessively high are frequently received.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Background deduplication tasks are running on the RV partition of the CPU. When deduplication tasks are running at a high speed, the usage of the RV partition increases, causing high CPU usage.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overload alarm policy for the controller CPU usage in medium- and low-load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DTS2024072001775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SNMP is used to connect to a third-party NMS, the precise alarm mode is not supported.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Nagios NMS software is 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third-party NMS software cannot obtain the alarm severity through the MIB.</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SNMP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Storage systems using SNMP do not support the precise alarm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Enable the storage systems to support the precise alarm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DTS2024072208831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reduction ratio is insufficient.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Fingerprints are unevenly distributed. The number of fingerprints in a single DB exceeds 1.5 TB.</w:t>
            </w:r>
          </w:p>
          <w:p>
            <w:pPr>
              <w:pStyle w:val="TableText"/>
            </w:pPr>
            <w:r>
              <w:t>2. The write-ahead logs (WALs) of the opportunity table accounts for more than 90% of the total watermark of the opportunity table.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reduction ratio is insufficient.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size of the manifest file cannot store all plog information, and services are severely uneven.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Increase the size of the manifest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DTS2024080107766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an AD domain user and an NIS domain user with the same name are configured and mapping to users with the same name is set, the permissions are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An AD domain user and an NIS domain user with the same name are configured and mapping to users with the same name is 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permissions of the AD domain user are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mapping to user with the same name is set, the permissions are not combined.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Query user permissions and mapping permissions and then combine the permissions.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DTS2024072406166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synchronization is performed for NAS remote replication, the NFS share icon is missing.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In a remote replication scenario, dtrees and NFS shares are synchronized when the primary and secondary dtree IDs are inconsistent.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When dtrees are viewed on DeviceManager, the NFS share icon is not displayed.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Querying dtree IDs using the NFS share alias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query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DTS2024071119055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controller resets when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More than four template quotas are created.</w:t>
            </w:r>
          </w:p>
          <w:p>
            <w:pPr>
              <w:pStyle w:val="TableText"/>
            </w:pPr>
            <w:r>
              <w:t>2. The quotas are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number of template quotas exceeds 4, an out-of-bounds array access occurs when the quotas are deleted. As a result, the controller resets.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Mount the created template quotas to the linked list to prevent out-of-bounds array access.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DTS2024071119408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latency is high due to writes after truncation.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same file is repeatedly copied to the same directory of a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dirty data exists in the area where data is to be written, reclamation is triggered. The reclamation is processed in serial mode, which increases the latency.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Reclaim dirty data in concurrent mode.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DTS2024081705430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a file system media error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During incremental synchronization for a file system HyperMetro pair, large files are truncated when the synchronization is about to complete.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storage system reports a file system media error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the incremental synchronization for a file system HyperMetro pair, the internal parity bits are incorrectly marked when files are truncated. As a result, an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Resolve the problem that parity bits are incorrectly marked when large files are truncated during incremental synchronization for HyperMetro pairs to prevent alarms from being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DTS2024071600671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Ports on Ethernet interface modules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switch is connected to multiple (more than 25) bond offload ports of Ethernet interface modules.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Ports on Ethernet interface modules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LACP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LACP packet exchange of the bond offload ports on the Ethernet interface modules is too fast, exceeding the LACP packet rate limit (128 by default) of the switch. As a result, the switch and storage ports are intermittently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LACP packet exchange frequency of Ethernet interface modules to keep it below the LACP packet rate limit of the switch.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0" w:name="_EN-US_TOPIC_0000002124703137"/>
    <w:bookmarkEnd w:id="30"/>
    <w:p>
      <w:pPr>
        <w:pStyle w:val="Heading2"/>
      </w:pPr>
      <w:bookmarkStart w:id="31" w:name="_EN-US_TOPIC_0000002124703137-chtext"/>
      <w:bookmarkStart w:id="32" w:name="_Toc256000010"/>
      <w:r>
        <w:t>SPH18 Resolved Issues</w:t>
      </w:r>
      <w:bookmarkEnd w:id="32"/>
      <w:bookmarkEnd w:id="31"/>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DTS2023121303231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Data erasing is selected when a disk domain is deleted, but the disk fails to be connected to the storage system after data is erased.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disk is an NVMe self-encrypting disk whose firmware version is 8217.</w:t>
            </w:r>
          </w:p>
          <w:p>
            <w:pPr>
              <w:pStyle w:val="TableText"/>
            </w:pPr>
            <w:r>
              <w:t>2. A data erasing task is executed.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disk fails to be connected to the storage system after data destruction.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There is a low probability that a time sequence error occurs during protocol negotiation with the disk. As a result, command conflicts occur, the disk destruction process fails, and disk access authentication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Solve the time sequence problem in protocol negotiation with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DTS2024060702995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LDAP user fails to log in to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user name or password of an LDAP user account contains special characters, for example, French characters é (inconsistency between UTF-8 and UTF-16 encoding formats).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Logging in to DeviceManager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character encoding format is not converted.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Convert the content to the UTF-8 format before delivery.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DTS2024022612148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 xml:space="preserve">Although </w:t>
            </w:r>
            <w:r>
              <w:rPr>
                <w:b/>
              </w:rPr>
              <w:t xml:space="preserve">Do not show this message again </w:t>
            </w:r>
            <w:r>
              <w:t xml:space="preserve">is selected in the </w:t>
            </w:r>
            <w:r>
              <w:rPr>
                <w:b/>
              </w:rPr>
              <w:t>Confirm Display</w:t>
            </w:r>
            <w:r>
              <w:t xml:space="preserve"> dialog box on DeviceManager, the setting does not take effect.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zoom of the browser or operating system is not 100%.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This dialog box is displayed each time a user re-logs in to DeviceManager after logging out of DeviceManager or closing the browser.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 xml:space="preserve">The tag of the </w:t>
            </w:r>
            <w:r>
              <w:rPr>
                <w:b/>
              </w:rPr>
              <w:t>Do not show this message again</w:t>
            </w:r>
            <w:r>
              <w:t xml:space="preserve"> option is placed in the cookie and the setting will be cleared after a user logs out of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Store the tag in the browser cache.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DTS2024061328119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CIFS share fails to be mounted using an FQDN.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vStores are added to the AD domain.</w:t>
            </w:r>
          </w:p>
          <w:p>
            <w:pPr>
              <w:pStyle w:val="TableText"/>
            </w:pPr>
            <w:r>
              <w:t>2. Container services are enabled.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the CIFS share fails to be mounted.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protocol proactively pushes the internal IP address of the container to the DNS server.During domain name resolution, there is a possibility that the internal IP address of the container is returned.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system to disable the proactive push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DTS2024060604755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reports a component exception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deduplication service has been configured for the storage system and the version is being upgraded to 6.1.6. The pre_merge operation is interrupted when app_data is restarted during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When the service data volume is large, the data reduction rate decreases. In addition, an alarm is displayed on DeviceManager eight days after the upgrade.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Deduplication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fingerprint sequence numbers are not persistently stored, and fixed-length blocks are repeatedly written back to the DB. As a result, the internal deduplication process becomes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Use the persistent sequence numbers in the DB and determine whether to write fixed-length blocks back to the DB based on the current DB size.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DTS2024061502478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 file or directory is created in an NFSv3 share, a message is displayed indicating that the file name is too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multiple languages are configured for NFSv3, the name of a created file or directory exceeds 255 characters after being converted to UTF-8.</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file cannot be created.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being converted to UTF-8, the name length exceeds 255 characters, which does not meet the internal judgment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internal judgment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DTS2024061328869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When accessing the Homedir share, the user also changes the UTC time of the system or performs NTP time synchronization.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Homedir share cannot be accessed.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of the system is changed to a value earlier than the previous one, the timeout calculation is reversed and the system incorrectly determines that the access times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timeout determination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DTS2024032507675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Capacity statistical items that cannot be identified by VMs exist in the VMware datastore capacity statistics.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VAAI is enabled during file system creation.</w:t>
            </w:r>
          </w:p>
          <w:p>
            <w:pPr>
              <w:pStyle w:val="TableText"/>
            </w:pPr>
            <w:r>
              <w:t>2. The NFS share is mounted to VMware to create a datastore.</w:t>
            </w:r>
          </w:p>
          <w:p>
            <w:pPr>
              <w:pStyle w:val="TableText"/>
            </w:pPr>
            <w:r>
              <w:t>3. VMs migration are repeatedly perfoemed in the datastore.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capacity display is affected.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service load is heavy and VMs are migrated repeatedly, the bitmap statistics of the storage file system are inaccurate.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bitmap statistics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DTS2023091219466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queried capacity of a HyperMetro or remote replication pair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a file system is created and then a HyperMetro or remote replication pair is created for the file system, capacity of the HyperMetro or remote replication pair is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queried HyperMetro or remote replication pair capacity of the file system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queried file system capacity should be in the unit of sector instead of byte.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unit to sector.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DTS2024070505526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OpenSSH has a level-1 vulnerability [HWPSIRT-2024-56267][CVE-2024-6387].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loginGraceTIme function is enabled.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Attackers can exploit this vulnerability to execute code with the root permission, which poses security risks.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OpenSSH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signal handler race condition in the OpenSSH server (sshd) can be maliciously used.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Use the rectification solution provided by the OpenSSH open-source community.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DTS2024051400127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links are unstable, resource leak occurs on a storage port. As a result, host services carried on the port cannot be delivered properly.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Necessary conditions:</w:t>
            </w:r>
          </w:p>
          <w:p>
            <w:pPr>
              <w:pStyle w:val="TableText"/>
            </w:pPr>
            <w:r>
              <w:t>1. On a SAN switched network, a host port in the zone experiences repeated intermittent disconnection.</w:t>
            </w:r>
          </w:p>
          <w:p>
            <w:pPr>
              <w:pStyle w:val="TableText"/>
            </w:pPr>
            <w:r>
              <w:t>2. During connection setup, the front-end host port does not initiate a PLOGI connection setup request according to the protocol. As a result, the driver cannot offload the connection information to the chip.</w:t>
            </w:r>
          </w:p>
          <w:p>
            <w:pPr>
              <w:pStyle w:val="TableText"/>
            </w:pPr>
            <w:r>
              <w:t>3. The intermittently disconnected host port in the zone does not respond to the LOGO frame sent by the storage system.</w:t>
            </w:r>
          </w:p>
          <w:p>
            <w:pPr>
              <w:pStyle w:val="TableText"/>
            </w:pPr>
            <w:r>
              <w:t>There is a possibility that the problem occurs when conditions 1, 2, and 3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 chip resource leak occurs, and services may be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Resources are not restored in a timely manner.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resource application and release in the case of repeated intermittent link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DTS2024031926434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NAS backup write service is started, the service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DTOE function is enabled on the storage device.</w:t>
            </w:r>
          </w:p>
          <w:p>
            <w:pPr>
              <w:pStyle w:val="TableText"/>
            </w:pPr>
            <w:r>
              <w:t>2. A large number of packets are lost due to network congestion or transient heavy service pressure.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host bandwidth decreases. In severe cases, the host bandwidth decreases to zero intermittently.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DTOE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large number of packets are lost, the storage TCP window resources are not adjusted in a timely manner. As a result, the receiving efficiency decreases and the host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policy for processing storage TCP window resources in fault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DTS2024070216930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device is added to DME and performance data collection has been running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Controllers reset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OMM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Memory leak occurs on a download interface.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memory release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DTS2024060502223</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Clients cannot access an NFS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large number of clients access the storage system. Some clients deliver service I/Os at an interval of more than 3 hours.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Clients cannot access the NFS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Duplicate hash values of client IP addresses are identified. The memory space is not released in a timely manner during background clearance.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background clearing mechanism.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DTS2024070506532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hosts are powered off, the alarm indicating that the number of concurrent NAS connections reaches 95% of the upper limit persists on DeviceManager.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Concurrent connections reach the specifications and a large number of hosts are powered off at the same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NFS&amp;CIFS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the hosts are powered off, they cannot send acknowledge messages to the storage system. As a result, the concurrency resources fail to be released.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release logic for internal concurrency resources.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33" w:name="_EN-US_TOPIC_0000002124703133"/>
    <w:bookmarkEnd w:id="33"/>
    <w:p>
      <w:pPr>
        <w:pStyle w:val="Heading2"/>
      </w:pPr>
      <w:bookmarkStart w:id="34" w:name="_EN-US_TOPIC_0000002124703133-chtext"/>
      <w:bookmarkStart w:id="35" w:name="_Toc256000011"/>
      <w:r>
        <w:t>SPH17 Resolved Issues</w:t>
      </w:r>
      <w:bookmarkEnd w:id="35"/>
      <w:bookmarkEnd w:id="34"/>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DTS2024061423976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CPU usage of storage controllers is high, the performance is affected, and the HyperMetro pair is disconnected.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Real-time ransomware detection is enabled.</w:t>
            </w:r>
          </w:p>
          <w:p>
            <w:pPr>
              <w:pStyle w:val="TableText"/>
            </w:pPr>
            <w:r>
              <w:t>2. The file system for which ransomware detection is enabled has tens of thousands of directories and files and has many directory levels.</w:t>
            </w:r>
          </w:p>
          <w:p>
            <w:pPr>
              <w:pStyle w:val="TableText"/>
            </w:pPr>
            <w:r>
              <w:t>3. Directories are renamed and the files in a directory are modified.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I/O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snapshot comparison scanning task is deleted before it is complete, and there is a low probability that thread resources are occupied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background scanning process after a snapshot comparison task is abnormally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DTS2024061415076</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In NAS file sharing scenarios, if the same file is copied to a directory for multiple times, there is a low probability that read and write exceptions occur.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same file is repeatedly copied to a directory.</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There is a low probability that read and write exceptions occur.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File system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In overwrite scenarios, there is a low probability that the data writes in the file system and background reclamation tasks are not mutually exclusive.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Resolve the issue that write I/Os and background reclamation tasks are not mutually exclusive in overwrite scenarios.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DTS2024061516304</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The automatic path creation function is not enabled when the Homedir share mapping rule is added, and a directory exists in the share path of the mapping rule. The directory does not fully match the relative path due to case sensitiveness.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Users cannot access the Homedir share.</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CIFS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When the relative path is matched for Homedir share access, a case-sensitive policy is adopted. As a result, the relative path does not completely match the directory path in the file system path, and the path cannot be found.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Use a case-insensitive policy when the relative path is matched for Homedir share access.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t>DTS2024061710799</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The storage system reports the alarm of "An Exception Occurred During Intelligent Ransomware Detection".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1. Intelligent ransomware detection is configured.</w:t>
            </w:r>
          </w:p>
          <w:p>
            <w:pPr>
              <w:pStyle w:val="TableText"/>
            </w:pPr>
            <w:r>
              <w:t>2. After the previous ransomware detection, the file content is modified and the directory where the file is located is changed.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Snapshot detection fails and the storage system reports the alarm.</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HyperDetect</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After the file and its parent directory are modified, the file operation type is defined as modification. During ransomware detection, the file is compared with that in the last snapshot. However, the detection fails because the path is changed.</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Upgrade the ransomware protection software to 1.3.0.SPC17.</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bookmarkStart w:id="36" w:name="_EN-US_TOPIC_0000002089263760"/>
    <w:bookmarkEnd w:id="36"/>
    <w:p>
      <w:pPr>
        <w:pStyle w:val="Heading2"/>
      </w:pPr>
      <w:bookmarkStart w:id="37" w:name="_EN-US_TOPIC_0000002089263760-chtext"/>
      <w:bookmarkStart w:id="38" w:name="_Toc256000012"/>
      <w:r>
        <w:t>SPH15 Resolved Issues</w:t>
      </w:r>
      <w:bookmarkEnd w:id="38"/>
      <w:bookmarkEnd w:id="37"/>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DTS2024052218319</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There is a low probability that I/Os suspend after a process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a clone pair or snapshot is deleted, a version upgrade is performed or a process is reset.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clone pair or snapshot is deleted, the LUN relationship attributes are retained in the memory. After the upgrade or process reset, some attributes are not restored.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deleting clone pairs and snapshots.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1"/>
        <w:gridCol w:w="5957"/>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Trouble Ticket Number</w:t>
            </w:r>
          </w:p>
        </w:tc>
        <w:tc>
          <w:tcPr>
            <w:tcW w:w="3752" w:type="pct"/>
            <w:tcBorders>
              <w:top w:val="single" w:sz="6" w:space="0" w:color="000000"/>
              <w:bottom w:val="single" w:sz="6" w:space="0" w:color="000000"/>
            </w:tcBorders>
          </w:tcPr>
          <w:p>
            <w:pPr>
              <w:pStyle w:val="TableText"/>
            </w:pPr>
            <w:r>
              <w:rPr>
                <w:color w:val="252B3A"/>
              </w:rPr>
              <w:t>DTS2024052514709</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Description</w:t>
            </w:r>
          </w:p>
        </w:tc>
        <w:tc>
          <w:tcPr>
            <w:tcW w:w="3752" w:type="pct"/>
            <w:tcBorders>
              <w:top w:val="single" w:sz="6" w:space="0" w:color="000000"/>
              <w:bottom w:val="single" w:sz="6" w:space="0" w:color="000000"/>
            </w:tcBorders>
          </w:tcPr>
          <w:p>
            <w:pPr>
              <w:pStyle w:val="TableText"/>
            </w:pPr>
            <w:r>
              <w:t>In the SAN 3DC scenario, storage is not optimized for adapting to certain service models. As a result, an error is reported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Condition</w:t>
            </w:r>
          </w:p>
        </w:tc>
        <w:tc>
          <w:tcPr>
            <w:tcW w:w="3752" w:type="pct"/>
            <w:tcBorders>
              <w:top w:val="single" w:sz="6" w:space="0" w:color="000000"/>
              <w:bottom w:val="single" w:sz="6" w:space="0" w:color="000000"/>
            </w:tcBorders>
          </w:tcPr>
          <w:p>
            <w:pPr>
              <w:pStyle w:val="TableText"/>
            </w:pPr>
            <w:r>
              <w:t>This issue occurs in certain service models.</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Impact</w:t>
            </w:r>
          </w:p>
        </w:tc>
        <w:tc>
          <w:tcPr>
            <w:tcW w:w="3752" w:type="pct"/>
            <w:tcBorders>
              <w:top w:val="single" w:sz="6" w:space="0" w:color="000000"/>
              <w:bottom w:val="single" w:sz="6" w:space="0" w:color="000000"/>
            </w:tcBorders>
          </w:tcPr>
          <w:p>
            <w:pPr>
              <w:pStyle w:val="TableText"/>
            </w:pPr>
            <w:r>
              <w:t>Errors occur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Module</w:t>
            </w:r>
          </w:p>
        </w:tc>
        <w:tc>
          <w:tcPr>
            <w:tcW w:w="3752" w:type="pct"/>
            <w:tcBorders>
              <w:top w:val="single" w:sz="6" w:space="0" w:color="000000"/>
              <w:bottom w:val="single" w:sz="6" w:space="0" w:color="000000"/>
            </w:tcBorders>
          </w:tcPr>
          <w:p>
            <w:pPr>
              <w:pStyle w:val="TableText"/>
            </w:pPr>
            <w:r>
              <w:t>Replication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Severity</w:t>
            </w:r>
          </w:p>
        </w:tc>
        <w:tc>
          <w:tcPr>
            <w:tcW w:w="3752"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Root Cause</w:t>
            </w:r>
          </w:p>
        </w:tc>
        <w:tc>
          <w:tcPr>
            <w:tcW w:w="3752" w:type="pct"/>
            <w:tcBorders>
              <w:top w:val="single" w:sz="6" w:space="0" w:color="000000"/>
              <w:bottom w:val="single" w:sz="6" w:space="0" w:color="000000"/>
            </w:tcBorders>
          </w:tcPr>
          <w:p>
            <w:pPr>
              <w:pStyle w:val="TableText"/>
            </w:pPr>
            <w:r>
              <w:t>In specific service scenarios, the storage is not optimized for service adaption. As a result, an error is reported during database archiving.</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w:t>
            </w:r>
          </w:p>
        </w:tc>
        <w:tc>
          <w:tcPr>
            <w:tcW w:w="3752" w:type="pct"/>
            <w:tcBorders>
              <w:top w:val="single" w:sz="6" w:space="0" w:color="000000"/>
              <w:bottom w:val="single" w:sz="6" w:space="0" w:color="000000"/>
            </w:tcBorders>
          </w:tcPr>
          <w:p>
            <w:pPr>
              <w:pStyle w:val="TableText"/>
            </w:pPr>
            <w:r>
              <w:t>Optimize the I/O process in specific service scenarios for adaption.</w:t>
            </w:r>
          </w:p>
        </w:tc>
      </w:tr>
      <w:tr>
        <w:tblPrEx>
          <w:tblW w:w="7938" w:type="dxa"/>
          <w:tblInd w:w="1814" w:type="dxa"/>
          <w:tblLayout w:type="fixed"/>
          <w:tblLook w:val="01E0"/>
        </w:tblPrEx>
        <w:trPr>
          <w:cantSplit w:val="0"/>
        </w:trPr>
        <w:tc>
          <w:tcPr>
            <w:tcW w:w="1248" w:type="pct"/>
            <w:tcBorders>
              <w:top w:val="single" w:sz="6" w:space="0" w:color="000000"/>
              <w:bottom w:val="single" w:sz="6" w:space="0" w:color="000000"/>
              <w:right w:val="single" w:sz="6" w:space="0" w:color="000000"/>
            </w:tcBorders>
          </w:tcPr>
          <w:p>
            <w:pPr>
              <w:pStyle w:val="TableText"/>
            </w:pPr>
            <w:r>
              <w:t>Solution Impact</w:t>
            </w:r>
          </w:p>
        </w:tc>
        <w:tc>
          <w:tcPr>
            <w:tcW w:w="3752" w:type="pct"/>
            <w:tcBorders>
              <w:top w:val="single" w:sz="6" w:space="0" w:color="000000"/>
              <w:bottom w:val="single" w:sz="6" w:space="0" w:color="000000"/>
            </w:tcBorders>
          </w:tcPr>
          <w:p>
            <w:pPr>
              <w:pStyle w:val="TableText"/>
            </w:pPr>
            <w:r>
              <w:t>None</w:t>
            </w:r>
          </w:p>
        </w:tc>
      </w:tr>
    </w:tbl>
    <w:p/>
    <w:bookmarkStart w:id="39" w:name="_EN-US_TOPIC_0000002089263776"/>
    <w:bookmarkEnd w:id="39"/>
    <w:p>
      <w:pPr>
        <w:pStyle w:val="Heading2"/>
      </w:pPr>
      <w:bookmarkStart w:id="40" w:name="_EN-US_TOPIC_0000002089263776-chtext"/>
      <w:bookmarkStart w:id="41" w:name="_Toc256000013"/>
      <w:r>
        <w:t>SPH10 Resolved Issues</w:t>
      </w:r>
      <w:bookmarkEnd w:id="41"/>
      <w:bookmarkEnd w:id="40"/>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DTS2024041122201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controller enclosure is powered off unexpectedly.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capacitor of the power-off switch circuit on the controller enclosure fails (this occurs with an extremely low probability), pulling down the power-off control level.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controller enclosure is powered off unexpectedly,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DMI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According to the current power-off policy, the controller enclosure will be powered off when the capacitor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Disable the function of powering off the device by pressing the power button by default.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DTS2024032114544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Fault detection and alarm policies for silent corruptions of the system disk are optimized.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system disk experiences verification errors.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No internal recovery mechanism is available if a system disk of a controller is faulty.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FDSA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Silent corruptions occur in some partitions and files of the system disk. However, there is no detection on these faults and no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detection and recovery measures for verification errors in key partitions of the system disk.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DTS2024040202677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timeout error is reported when the 32 GB bitmap is queried.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Large-granularity bitmap query is performed when the service load is heavy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bitmap fails to be queried using the REST interface. As a result, the CV backup becomes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system splits bitmap requests based on 256 KB and then performs serial query. As a result, the bitmap request processing time exceeds the timeout threshold.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Return the queried result immediately when a large-granularity bitmap query is about to time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DTS2024022819517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kernel version fails to be upgraded, and 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large number of full copy services are delivered to reach the maximum specifications and a node fault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After a node is faulty, the battery-protected memory quota changes. As a result, the watermark calculation is abnormal, and the system process cannot run properly.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Recalculate the watermark if the watermark calculation is abnormal during node fault handling. This ensures the normal running of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DTS2024041103334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Snapshot reclamation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last snapshot or CDP is deleted from the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protection capacity reclamation is slow.</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Volume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snapshot is deleted from a file system, full scanning and reclamation are triggered by mistake. As a result, it takes a long time to reclaim the capacity used for data protection.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condition for determining the protection capacity to ensure that full reclamation is started only when the protection capacity is not 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DTS2024040908937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Logging in to ProtectManager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BGP services and ransomware protection or cloud backup services are deployed in high-end environments.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ProtectManager interface cannot be logged in to.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Devm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high-end storage container processes the login request, the source IP address of the packet sent during internal communication of the container conflicts with the BGP VIP on the loopback interface. As a result, the response packet cannot be received, and the login request times out.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VIP local route.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DTS2024032809862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exception occurs when host services access storage LUNs. As a result, the latency is high or disks are offline.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self-encrypting disk domain is created for self-encrypting disks. When the power supply is faulty and the voltage is unstable, current backfeed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Services are interrupted.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disk enclosure experiences a power failure, current backfeed occurs on the power supply. After the power supply is recovered, the self-encrypting disks fail to be authenticated as expected. As a result, an I/O error is reported when the storage disks are accessed.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logic for processing self-encrypting disks in this scenario to resolve the problem of unauthenticated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DTS2024032809795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disk reports a slow disk alarm.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disk flushing latency of the system disk is long.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system disk reports fault alarms.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BDM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read/write load of the system disk is high, the disk flushing latency increases, reaching the alarm threshold of slow disk detection.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slow-disk detection standard.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DTS2024010910250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a plug-in is connected to the storage device and a large number of VMs are provisioned concurrently, there is a possibility that disks cannot be attached to some VMs.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plug-in is connected to the storage device and a large number of VMs are provisioned concurrently.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disks cannot be attached to VMs during VM provisioning using a plug-in.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CFG</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large number of iSCSI target query requests are delivered to the storage system, exceeding its execution capability. A message is displayed indicating that the system is busy.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iSCSI target query process to improve the interface performance.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DTS2024032115284</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performance breakpoint occurs on the DME GUI.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DME is connected to an 8-controller storage system that has more than eight smart disk enclosures.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There is a possibility that performance breakpoints occur on the DME GUI.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Perf</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Real-time collection tasks are not processed in a timely manner, and performance data breakpoints occur.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real-time collection task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DTS2024042312536</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 domain authentication user cannot log in to the storage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actual name of the domain authentication user is different from its samAccountName on the domain authentication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domain authentication user cannot log in to the storage device.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storage system enhances the verification of domain authentication user names. As a result, some domain authentication users cannot log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logic for verifying domain authentication users.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DTS2024012509790</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 BGP peer creation fails, an error message is displayed, indicating that the system is busy.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the BGP peer is configured, it remains in the Connect state due to incorrect configurations, wrong cable connections, or network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BGP peer cannot be created.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BGP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resources applied for the TCP connection are not released in a timely manner after the BGP peer connection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mechanism for releasing resources after connection failures of the BGP peer.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DTS2024041507691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Snapshot Comparison function suspends when it is invoked by HyperDetect to compare snapshot differences.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File systems of a HyperMetro pair are created.</w:t>
            </w:r>
          </w:p>
          <w:p>
            <w:pPr>
              <w:pStyle w:val="TableText"/>
            </w:pPr>
            <w:r>
              <w:t>(2) A logical port that belongs to the secondary end of the HyperMetro pair is created and used for mounting.</w:t>
            </w:r>
          </w:p>
          <w:p>
            <w:pPr>
              <w:pStyle w:val="TableText"/>
            </w:pPr>
            <w:r>
              <w:t>(3) A dtree is created and directories in the dtree are renamed.</w:t>
            </w:r>
          </w:p>
          <w:p>
            <w:pPr>
              <w:pStyle w:val="TableText"/>
            </w:pPr>
            <w:r>
              <w:t>(4) An FSI scanning task is created or the HyperDetect feature is used to invoke the Snapshot Comparison function.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Snapshot Comparison function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Snapshot Comparison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Snapshot Comparison function is invoked in the HyperMetro cluster, it is not switched to the corresponding HyperMetro pair.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Switch the Snapshot Comparison function to the corresponding HyperMetro pair when it is invoked in a HyperMetro cluster.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DTS2024030511147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system disk wears out too fast.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system disk has residual dirty data of production tests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wear of system disk is aggravated, shortening its service life.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Equipment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Residual dirty data after production tests causes the available space of the system disk to decrease, accelerating the wear of the writable space.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Clear dirty data from the system disk.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DTS2024040305612</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performance of the converged storage system deteriorates after it runs for a long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HDDs are configured.</w:t>
            </w:r>
          </w:p>
          <w:p>
            <w:pPr>
              <w:pStyle w:val="TableText"/>
            </w:pPr>
            <w:r>
              <w:t>2. The defragmentation conditions are met. Defragmentation is started for more than 65534 times (more than 450 days for a single DD).</w:t>
            </w:r>
          </w:p>
          <w:p>
            <w:pPr>
              <w:pStyle w:val="TableText"/>
            </w:pPr>
            <w:r>
              <w:t>3. No process on the device restarts for a long time.</w:t>
            </w:r>
          </w:p>
          <w:p>
            <w:pPr>
              <w:pStyle w:val="TableText"/>
            </w:pPr>
            <w:r>
              <w:t>4. Tiers are configured.</w:t>
            </w:r>
          </w:p>
          <w:p>
            <w:pPr>
              <w:pStyle w:val="TableText"/>
            </w:pPr>
            <w:r>
              <w:t>There is a high probability that this issue occurs when conditions 1, 2, 3, and 4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storage performance deteriorates.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a scenario where HDDs are used to configure tiers, after the system runs for a long time (more than 450 days), the defragmentation tasks overflow and the timer of other background tasks is incorrectly used.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background timer processing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DTS2024031404215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write latency increases temporarily after write data is appended to the truncated file.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After truncating a file, append data to the file immediately.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write latency of the truncated file increases temporarily.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Filesystem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background does not reclaim the file data after the file is truncated. In this case, when a write request is delivered to the file, a write lock is added to the file, triggering data reclamation. As a result, a lock conflict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lock scheme of write requests after file truncation to range write lock to reduce lock conflicts.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42" w:name="_EN-US_TOPIC_0000002089103876"/>
    <w:bookmarkEnd w:id="42"/>
    <w:p>
      <w:pPr>
        <w:pStyle w:val="Heading2"/>
      </w:pPr>
      <w:bookmarkStart w:id="43" w:name="_EN-US_TOPIC_0000002089103876-chtext"/>
      <w:bookmarkStart w:id="44" w:name="_Toc256000014"/>
      <w:r>
        <w:t>SPH7 Resolved Issues</w:t>
      </w:r>
      <w:bookmarkEnd w:id="44"/>
      <w:bookmarkEnd w:id="43"/>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DTS2024021702091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There is a low probability that the system upgrade fails when a user name with non-UTF-8 encoded characters in the LDAP group is used to logs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user name with non-UTF-8 encoded characters in the LDAP group is used to logs in to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system upgrade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AA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LDAP group contains user names with non-UTF-8 encoded characters. The file opening verification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file opening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DTS2024021702137</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storage system reports an alarm indicating that the NTP service is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The IPv6 address configured for the NTP domain name of the DNS server contains more than 40 characters. The NTP server is added to the storage system using the domain name.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time cannot be synchronized with the NTP server.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NTP</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IPv6 address after domain name resolution exceeds the internal length limit. As a result, the NTP service restarts repeatedly.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IP address conversion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DTS2024022203865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storage pool is created using more than 100 disks.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more than 100 disks are used to create a storage pool, the calculation of the verification function is defective. As a result, the storage pool creation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Rectify the calculation defect when more than 100 disks are used to create a storage pool.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DTS2024020515761</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device is powered on, the rotational speed of fans is intermittently high.</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a. 1822 V120 interface modules are configured.</w:t>
            </w:r>
          </w:p>
          <w:p>
            <w:pPr>
              <w:pStyle w:val="TableText"/>
            </w:pPr>
            <w:r>
              <w:t>b. The ambient temperature is between 15°C and 25°C.</w:t>
            </w:r>
          </w:p>
          <w:p>
            <w:pPr>
              <w:pStyle w:val="TableText"/>
            </w:pPr>
            <w:r>
              <w:t>c. The service load is low.</w:t>
            </w:r>
          </w:p>
          <w:p>
            <w:pPr>
              <w:pStyle w:val="TableText"/>
            </w:pPr>
            <w:r>
              <w:t>There is a possibility that this issue occurs when conditions a, b, and c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The noise of fans fluctuates repeatedly.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Pangea</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temperature of interface modules increases by 3°C, the fan speed level increases from 8 to 20. As a result, the fan speed is frequently adjusted when the temperature increases or decreases.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fan speed level adjustment. The start fan speed level should be manually adjusted to reduce the frequency of triggering fan speed level adjustment.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Trouble Ticket Number</w:t>
            </w:r>
          </w:p>
        </w:tc>
        <w:tc>
          <w:tcPr>
            <w:tcW w:w="3750" w:type="pct"/>
            <w:tcBorders>
              <w:top w:val="single" w:sz="6" w:space="0" w:color="000000"/>
              <w:bottom w:val="single" w:sz="6" w:space="0" w:color="000000"/>
            </w:tcBorders>
          </w:tcPr>
          <w:p>
            <w:pPr>
              <w:pStyle w:val="TableText"/>
            </w:pPr>
            <w:r>
              <w:t>DTS2024020508255</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a controller is removed and re-inserted, an alarm indicating that the interface module fails to be powered on is generated on the controller.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Condition</w:t>
            </w:r>
          </w:p>
        </w:tc>
        <w:tc>
          <w:tcPr>
            <w:tcW w:w="3750" w:type="pct"/>
            <w:tcBorders>
              <w:top w:val="single" w:sz="6" w:space="0" w:color="000000"/>
              <w:bottom w:val="single" w:sz="6" w:space="0" w:color="000000"/>
            </w:tcBorders>
          </w:tcPr>
          <w:p>
            <w:pPr>
              <w:pStyle w:val="TableText"/>
            </w:pPr>
            <w:r>
              <w:t>1. The Hi1822 V120 high-end interconnect I/O module is used.</w:t>
            </w:r>
          </w:p>
          <w:p>
            <w:pPr>
              <w:pStyle w:val="TableText"/>
            </w:pPr>
            <w:r>
              <w:t>2. The controller is removed and re-inserted.</w:t>
            </w:r>
          </w:p>
          <w:p>
            <w:pPr>
              <w:pStyle w:val="TableText"/>
            </w:pPr>
            <w:r>
              <w:t>There is a high probability that this issue occurs when the preceding conditions are met.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Impact</w:t>
            </w:r>
          </w:p>
        </w:tc>
        <w:tc>
          <w:tcPr>
            <w:tcW w:w="3750" w:type="pct"/>
            <w:tcBorders>
              <w:top w:val="single" w:sz="6" w:space="0" w:color="000000"/>
              <w:bottom w:val="single" w:sz="6" w:space="0" w:color="000000"/>
            </w:tcBorders>
          </w:tcPr>
          <w:p>
            <w:pPr>
              <w:pStyle w:val="TableText"/>
            </w:pPr>
            <w:r>
              <w:t>An alarm on the interface module is generated and ports on the module are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Module</w:t>
            </w:r>
          </w:p>
        </w:tc>
        <w:tc>
          <w:tcPr>
            <w:tcW w:w="3750" w:type="pct"/>
            <w:tcBorders>
              <w:top w:val="single" w:sz="6" w:space="0" w:color="000000"/>
              <w:bottom w:val="single" w:sz="6" w:space="0" w:color="000000"/>
            </w:tcBorders>
          </w:tcPr>
          <w:p>
            <w:pPr>
              <w:pStyle w:val="TableText"/>
            </w:pPr>
            <w:r>
              <w:t>MPU</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a packet Completion Time-Out (CTO) event occurs, the corresponding bit of the register is not cleared. As a result, packet CTO events continuously reported and the driver probe fails to started for multiple times, making ports unavailable.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Clear the corresponding bit of the register in the interrupt handling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45" w:name="_EN-US_TOPIC_0000002089103880"/>
    <w:bookmarkEnd w:id="45"/>
    <w:p>
      <w:pPr>
        <w:pStyle w:val="Heading2"/>
      </w:pPr>
      <w:bookmarkStart w:id="46" w:name="_EN-US_TOPIC_0000002089103880-chtext"/>
      <w:bookmarkStart w:id="47" w:name="_Toc256000015"/>
      <w:r>
        <w:t>SPH6 Resolved Issues</w:t>
      </w:r>
      <w:bookmarkEnd w:id="47"/>
      <w:bookmarkEnd w:id="46"/>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scenarios, the deduplication service stops unexpectedly due to a plog deletion failure.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some scenarios, a plog deletion process terminates unexpectedly. After three retries, the deletion still fails. As a result, the deduplication service stops.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procedure for handling the abnormal termination of plog deletions to prevent the deduplication service from being stopped abnormally.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In some service overload scenarios, the deduplication process is oversuppressed, affecting the deduplication efficiency.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deduplication rate is over reduced by flow control in overload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deduplication flow control logic to improve deduplication efficiency.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Recording audit logs in XML format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files name contains escape characters and non-UTF-8 characters. As a result, parsing the file as an UTF-8 file fails.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parsing logic.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write I/O latency increases during fullcopy.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During fullcopy, I/Os are unevenly distributed. As a result, the CPU usage of some cores surges and the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I/O distribution rules.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system is upgraded to 6.1.6, a license error is returned when a thick LUN is created using the RESTful API.</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6.1.6, the return value of the RESTful API for creating volumes is changed. As a result, an adaptation problem occurs.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return value logic of RESTful APIs.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An alarm is reported indicating that the coffer_log directory usage exceeds the threshold because there are too many GaussDB component logs.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Historical logs are not deleted because the log management process is abnormal.</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Add a daemon process to the log management process to ensure that logs can be properly deleted.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capacity statistics of HyperMetro multi-dtree file systems in the config log is incorrect.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capacity statistics of the show file_system reduction command output is not correct in HyperMetro file system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capacity statistics of the show file_system reduction command in HyperMetro file system scenarios.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NAS client sends a NullCall packet to port 2052 of the storage device, the storage device returns a NullReply packet.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processing packets, the storage device does not correctly determine the relationship between packet requests and service ports.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determination logic so that the relationship between packet requests and service ports can be correctly determined.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read and write performance of the storage system deteriorates because the client repeatedly establishes and disconnects TCP connections to and from the storage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Internal resources are not correctly released after disconnections. As a result, the I/O latency increases after a long period of time.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 of releasing resources after disconnection.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When multiple clients concurrently lock a file, there is a possibility that the NLM lock status on the host side differs from that on the storage side.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When the NLM lock asynchronous notification connection between the storage device and the client fails, the connection is retried for a long time. Notification messages from other hosts are blocked. As a result, the lock status on the host side is inconsistent with that on the storage side.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processing logic when the NAS client delivers the cancel command word and enable the processing logic after the NLM lock notification connection fails by default.</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Alarms to be cleared are frequently sent in the Air Gap scenario.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Air Gap scenario, alarms to be cleared on the primary storage are not suppressed.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alarm suppression policy of the primary storage in the Air Gap scenario.</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space is not reclaimed after files are deleted from a file system.</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mapping between front-end and back-end shards is not initialized before data is written.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Write data only after the mapping between front-end and back-end shards is initialized.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48" w:name="_EN-US_TOPIC_0000002089103872"/>
    <w:bookmarkEnd w:id="48"/>
    <w:p>
      <w:pPr>
        <w:pStyle w:val="Heading2"/>
      </w:pPr>
      <w:bookmarkStart w:id="49" w:name="_EN-US_TOPIC_0000002089103872-chtext"/>
      <w:bookmarkStart w:id="50" w:name="_Toc256000016"/>
      <w:r>
        <w:t>SPH3 Resolved Issues</w:t>
      </w:r>
      <w:bookmarkEnd w:id="50"/>
      <w:bookmarkEnd w:id="49"/>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deduplication efficiency needs to be optimized.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Due to the large size of the deduplication opportunity table, the deduplication efficiency does not meet the expectation.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Reduce the size of the deduplication opportunity table by optimizing the deduplication stock tree. In addition, commands are provided to manually adjust the maximum capacity of the deduplication opportunity table.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Latency increases because back-end acceleration resources are not released in a timely manner and the service pressure approaches the back-end bottleneck.</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Back-end acceleration resources are not released in a timely manner, and the service pressure approaches the back-end bottleneck. As a result, the latency increases.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Solve the problem of delayed releasing of back-end acceleration resources.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After the storage system is upgraded to 6.1.6, an alarm indicating that the capacity is used up is generated, and host services are abnormal due to a space request failure.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certain scenarios, a reserved field of the storage pool is not correctly processed. After the upgrade, the system uses the value of this field and incorrectly determines that the storage pool capacity is used up. As a result, new space cannot be allocated to host services.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Correct the processing logic and the storage pool capacity.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bookmarkStart w:id="51" w:name="_EN-US_TOPIC_0000002124823429"/>
    <w:bookmarkEnd w:id="51"/>
    <w:p>
      <w:pPr>
        <w:pStyle w:val="Heading2"/>
      </w:pPr>
      <w:bookmarkStart w:id="52" w:name="_EN-US_TOPIC_0000002124823429-chtext"/>
      <w:bookmarkStart w:id="53" w:name="_Toc256000017"/>
      <w:r>
        <w:t>SPH2 Resolved Issues</w:t>
      </w:r>
      <w:bookmarkEnd w:id="53"/>
      <w:bookmarkEnd w:id="5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"Internal Components Of The System Have Risks" alarm is reported.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system incorrectly determines that the DIF verification fails when reading the HDD.</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DIF verification process for reading HDDs.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VM migration delay is long, affecting service performance.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In the deduplication process, there is a large cycle of fingerprint comparison, affecting CPU scheduling and prolonging service latency.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the transition period of the deduplication process.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The link for connecting to FalconStor virtualization is faulty.</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A compatibility issue occurs when a command word is queried because the identifying field is XSG but not VAC.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Change the identifying field of the command word from XSG to VAC.</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84"/>
        <w:gridCol w:w="595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Description</w:t>
            </w:r>
          </w:p>
        </w:tc>
        <w:tc>
          <w:tcPr>
            <w:tcW w:w="3750" w:type="pct"/>
            <w:tcBorders>
              <w:top w:val="single" w:sz="6" w:space="0" w:color="000000"/>
              <w:bottom w:val="single" w:sz="6" w:space="0" w:color="000000"/>
            </w:tcBorders>
          </w:tcPr>
          <w:p>
            <w:pPr>
              <w:pStyle w:val="TableText"/>
            </w:pPr>
            <w:r>
              <w:t>Directory redirection fails after the offline cache function is enabled for a share.</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Severity</w:t>
            </w:r>
          </w:p>
        </w:tc>
        <w:tc>
          <w:tcPr>
            <w:tcW w:w="3750"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Root Cause</w:t>
            </w:r>
          </w:p>
        </w:tc>
        <w:tc>
          <w:tcPr>
            <w:tcW w:w="3750" w:type="pct"/>
            <w:tcBorders>
              <w:top w:val="single" w:sz="6" w:space="0" w:color="000000"/>
              <w:bottom w:val="single" w:sz="6" w:space="0" w:color="000000"/>
            </w:tcBorders>
          </w:tcPr>
          <w:p>
            <w:pPr>
              <w:pStyle w:val="TableText"/>
            </w:pPr>
            <w:r>
              <w:t>The permission bit in some request packets is abnormal. As a result, the client does not have the permission.</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w:t>
            </w:r>
          </w:p>
        </w:tc>
        <w:tc>
          <w:tcPr>
            <w:tcW w:w="3750" w:type="pct"/>
            <w:tcBorders>
              <w:top w:val="single" w:sz="6" w:space="0" w:color="000000"/>
              <w:bottom w:val="single" w:sz="6" w:space="0" w:color="000000"/>
            </w:tcBorders>
          </w:tcPr>
          <w:p>
            <w:pPr>
              <w:pStyle w:val="TableText"/>
            </w:pPr>
            <w:r>
              <w:t>Optimize permission bit processing in packets.</w:t>
            </w:r>
          </w:p>
        </w:tc>
      </w:tr>
      <w:tr>
        <w:tblPrEx>
          <w:tblW w:w="7938" w:type="dxa"/>
          <w:tblInd w:w="1814" w:type="dxa"/>
          <w:tblLayout w:type="fixed"/>
          <w:tblLook w:val="01E0"/>
        </w:tblPrEx>
        <w:trPr>
          <w:cantSplit w:val="0"/>
        </w:trPr>
        <w:tc>
          <w:tcPr>
            <w:tcW w:w="1250" w:type="pct"/>
            <w:tcBorders>
              <w:top w:val="single" w:sz="6" w:space="0" w:color="000000"/>
              <w:bottom w:val="single" w:sz="6" w:space="0" w:color="000000"/>
              <w:right w:val="single" w:sz="6" w:space="0" w:color="000000"/>
            </w:tcBorders>
          </w:tcPr>
          <w:p>
            <w:pPr>
              <w:pStyle w:val="TableText"/>
            </w:pPr>
            <w:r>
              <w:t>Solution Impact</w:t>
            </w:r>
          </w:p>
        </w:tc>
        <w:tc>
          <w:tcPr>
            <w:tcW w:w="3750"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75"/>
        <w:gridCol w:w="5963"/>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Description</w:t>
            </w:r>
          </w:p>
        </w:tc>
        <w:tc>
          <w:tcPr>
            <w:tcW w:w="3756" w:type="pct"/>
            <w:tcBorders>
              <w:top w:val="single" w:sz="6" w:space="0" w:color="000000"/>
              <w:bottom w:val="single" w:sz="6" w:space="0" w:color="000000"/>
            </w:tcBorders>
          </w:tcPr>
          <w:p>
            <w:pPr>
              <w:pStyle w:val="TableText"/>
            </w:pPr>
            <w:r>
              <w:t>The long-distance network for RDMA-based replication has high transmission latency in large I/O scenarios.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Severity</w:t>
            </w:r>
          </w:p>
        </w:tc>
        <w:tc>
          <w:tcPr>
            <w:tcW w:w="3756" w:type="pct"/>
            <w:tcBorders>
              <w:top w:val="single" w:sz="6" w:space="0" w:color="000000"/>
              <w:bottom w:val="single" w:sz="6" w:space="0" w:color="000000"/>
            </w:tcBorders>
          </w:tcPr>
          <w:p>
            <w:pPr>
              <w:pStyle w:val="TableText"/>
            </w:pPr>
            <w:r>
              <w:t>Minor</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Root Cause</w:t>
            </w:r>
          </w:p>
        </w:tc>
        <w:tc>
          <w:tcPr>
            <w:tcW w:w="3756" w:type="pct"/>
            <w:tcBorders>
              <w:top w:val="single" w:sz="6" w:space="0" w:color="000000"/>
              <w:bottom w:val="single" w:sz="6" w:space="0" w:color="000000"/>
            </w:tcBorders>
          </w:tcPr>
          <w:p>
            <w:pPr>
              <w:pStyle w:val="TableText"/>
            </w:pPr>
            <w:r>
              <w:t>In long-distance RDMA-based replication scenarios, the policy for processing large I/Os is inappropriate. As a result, the transmission latency increases.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Solution</w:t>
            </w:r>
          </w:p>
        </w:tc>
        <w:tc>
          <w:tcPr>
            <w:tcW w:w="3756" w:type="pct"/>
            <w:tcBorders>
              <w:top w:val="single" w:sz="6" w:space="0" w:color="000000"/>
              <w:bottom w:val="single" w:sz="6" w:space="0" w:color="000000"/>
            </w:tcBorders>
          </w:tcPr>
          <w:p>
            <w:pPr>
              <w:pStyle w:val="TableText"/>
            </w:pPr>
            <w:r>
              <w:t>Optimize the policy for processing large I/Os in long-distance RDMA-based replication scenarios.</w:t>
            </w:r>
          </w:p>
        </w:tc>
      </w:tr>
      <w:tr>
        <w:tblPrEx>
          <w:tblW w:w="7938" w:type="dxa"/>
          <w:tblInd w:w="1814" w:type="dxa"/>
          <w:tblLayout w:type="fixed"/>
          <w:tblLook w:val="01E0"/>
        </w:tblPrEx>
        <w:trPr>
          <w:cantSplit w:val="0"/>
        </w:trPr>
        <w:tc>
          <w:tcPr>
            <w:tcW w:w="1244" w:type="pct"/>
            <w:tcBorders>
              <w:top w:val="single" w:sz="6" w:space="0" w:color="000000"/>
              <w:bottom w:val="single" w:sz="6" w:space="0" w:color="000000"/>
              <w:right w:val="single" w:sz="6" w:space="0" w:color="000000"/>
            </w:tcBorders>
          </w:tcPr>
          <w:p>
            <w:pPr>
              <w:pStyle w:val="TableText"/>
            </w:pPr>
            <w:r>
              <w:t>Solution Impact</w:t>
            </w:r>
          </w:p>
        </w:tc>
        <w:tc>
          <w:tcPr>
            <w:tcW w:w="3756" w:type="pct"/>
            <w:tcBorders>
              <w:top w:val="single" w:sz="6" w:space="0" w:color="000000"/>
              <w:bottom w:val="single" w:sz="6" w:space="0" w:color="000000"/>
            </w:tcBorders>
          </w:tcPr>
          <w:p>
            <w:pPr>
              <w:pStyle w:val="TableText"/>
            </w:pPr>
            <w:r>
              <w:t>None</w:t>
            </w:r>
          </w:p>
        </w:tc>
      </w:tr>
    </w:tbl>
    <w:p>
      <w:pPr>
        <w:sectPr>
          <w:headerReference w:type="even" r:id="rId38"/>
          <w:headerReference w:type="default" r:id="rId39"/>
          <w:footerReference w:type="even" r:id="rId40"/>
          <w:footerReference w:type="default" r:id="rId41"/>
          <w:type w:val="nextPage"/>
          <w:pgSz w:w="11907" w:h="16840" w:code="9"/>
          <w:pgMar w:top="1701" w:right="1134" w:bottom="1701" w:left="1134" w:header="567" w:footer="567" w:gutter="0"/>
          <w:pgNumType w:fmt="decimal"/>
          <w:cols w:space="425"/>
          <w:docGrid w:linePitch="312"/>
        </w:sectPr>
      </w:pPr>
    </w:p>
    <w:p>
      <w:pPr>
        <w:pStyle w:val="Heading1"/>
      </w:pPr>
      <w:bookmarkStart w:id="54" w:name="_EN-US_TOPIC_0000002124823425"/>
      <w:bookmarkEnd w:id="54"/>
      <w:bookmarkStart w:id="55" w:name="_EN-US_TOPIC_0000002124823425-chtext"/>
      <w:bookmarkStart w:id="56" w:name="_Toc256000018"/>
      <w:r>
        <w:t>Third-Party Software Vulnerability Fixes</w:t>
      </w:r>
      <w:bookmarkEnd w:id="56"/>
      <w:bookmarkEnd w:id="55"/>
    </w:p>
    <w:p>
      <w:r>
        <w:t xml:space="preserve">Vulnerability information can be queried using CVE IDs on the National Vulnerability Database (NVD) website: </w:t>
      </w:r>
      <w:hyperlink r:id="rId42" w:tooltip=" " w:history="1">
        <w:r>
          <w:rPr>
            <w:rStyle w:val="Hyperlink"/>
          </w:rPr>
          <w:t>http://web.nvd.nist.gov/view/vuln/search</w:t>
        </w:r>
      </w:hyperlink>
      <w:r>
        <w:t>.</w:t>
      </w:r>
    </w:p>
    <w:p>
      <w:pPr>
        <w:pStyle w:val="TableDescription"/>
      </w:pPr>
      <w:r>
        <w:t>Third-party software vulnerability fixes</w:t>
      </w:r>
    </w:p>
    <w:tbl>
      <w:tblPr>
        <w:tblStyle w:val="Table"/>
        <w:tblW w:w="7938" w:type="dxa"/>
        <w:tblInd w:w="1814" w:type="dxa"/>
        <w:tblLayout w:type="fixed"/>
        <w:tblLook w:val="01E0"/>
      </w:tblPr>
      <w:tblGrid>
        <w:gridCol w:w="888"/>
        <w:gridCol w:w="1454"/>
        <w:gridCol w:w="921"/>
        <w:gridCol w:w="2729"/>
        <w:gridCol w:w="1946"/>
      </w:tblGrid>
      <w:tr>
        <w:tblPrEx>
          <w:tblW w:w="7938" w:type="dxa"/>
          <w:tblInd w:w="1814" w:type="dxa"/>
          <w:tblLayout w:type="fixed"/>
          <w:tblLook w:val="01E0"/>
        </w:tblPrEx>
        <w:trPr>
          <w:cantSplit w:val="0"/>
          <w:tblHeader/>
        </w:trPr>
        <w:tc>
          <w:tcPr>
            <w:tcW w:w="559" w:type="pct"/>
            <w:tcBorders>
              <w:top w:val="single" w:sz="6" w:space="0" w:color="000000"/>
              <w:bottom w:val="single" w:sz="6" w:space="0" w:color="000000"/>
              <w:right w:val="single" w:sz="6" w:space="0" w:color="000000"/>
            </w:tcBorders>
            <w:shd w:val="clear" w:color="auto" w:fill="D9D9D9"/>
          </w:tcPr>
          <w:p>
            <w:pPr>
              <w:pStyle w:val="TableHeading"/>
            </w:pPr>
            <w:r>
              <w:t>Software</w:t>
            </w:r>
          </w:p>
        </w:tc>
        <w:tc>
          <w:tcPr>
            <w:tcW w:w="916"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580" w:type="pct"/>
            <w:tcBorders>
              <w:top w:val="single" w:sz="6" w:space="0" w:color="000000"/>
              <w:bottom w:val="single" w:sz="6" w:space="0" w:color="000000"/>
              <w:right w:val="single" w:sz="6" w:space="0" w:color="000000"/>
            </w:tcBorders>
            <w:shd w:val="clear" w:color="auto" w:fill="D9D9D9"/>
          </w:tcPr>
          <w:p>
            <w:pPr>
              <w:pStyle w:val="TableHeading"/>
            </w:pPr>
            <w:r>
              <w:t>CVE ID</w:t>
            </w:r>
          </w:p>
        </w:tc>
        <w:tc>
          <w:tcPr>
            <w:tcW w:w="1719" w:type="pct"/>
            <w:tcBorders>
              <w:top w:val="single" w:sz="6" w:space="0" w:color="000000"/>
              <w:bottom w:val="single" w:sz="6" w:space="0" w:color="000000"/>
              <w:right w:val="single" w:sz="6" w:space="0" w:color="000000"/>
            </w:tcBorders>
            <w:shd w:val="clear" w:color="auto" w:fill="D9D9D9"/>
          </w:tcPr>
          <w:p>
            <w:pPr>
              <w:pStyle w:val="TableHeading"/>
            </w:pPr>
            <w:r>
              <w:t>Vulnerability Description</w:t>
            </w:r>
          </w:p>
        </w:tc>
        <w:tc>
          <w:tcPr>
            <w:tcW w:w="1226" w:type="pct"/>
            <w:tcBorders>
              <w:top w:val="single" w:sz="6" w:space="0" w:color="000000"/>
              <w:bottom w:val="single" w:sz="6" w:space="0" w:color="000000"/>
            </w:tcBorders>
            <w:shd w:val="clear" w:color="auto" w:fill="D9D9D9"/>
          </w:tcPr>
          <w:p>
            <w:pPr>
              <w:pStyle w:val="TableHeading"/>
            </w:pPr>
            <w:r>
              <w:t>Solution</w:t>
            </w:r>
          </w:p>
        </w:tc>
      </w:tr>
      <w:tr>
        <w:tblPrEx>
          <w:tblW w:w="7938" w:type="dxa"/>
          <w:tblInd w:w="1814" w:type="dxa"/>
          <w:tblLayout w:type="fixed"/>
          <w:tblLook w:val="01E0"/>
        </w:tblPrEx>
        <w:trPr>
          <w:cantSplit w:val="0"/>
        </w:trPr>
        <w:tc>
          <w:tcPr>
            <w:tcW w:w="559" w:type="pct"/>
            <w:tcBorders>
              <w:top w:val="single" w:sz="6" w:space="0" w:color="000000"/>
              <w:bottom w:val="single" w:sz="6" w:space="0" w:color="000000"/>
              <w:right w:val="single" w:sz="6" w:space="0" w:color="000000"/>
            </w:tcBorders>
          </w:tcPr>
          <w:p>
            <w:pPr>
              <w:pStyle w:val="TableText"/>
            </w:pPr>
            <w:r>
              <w:t>OpenSSH</w:t>
            </w:r>
          </w:p>
        </w:tc>
        <w:tc>
          <w:tcPr>
            <w:tcW w:w="916" w:type="pct"/>
            <w:tcBorders>
              <w:top w:val="single" w:sz="6" w:space="0" w:color="000000"/>
              <w:bottom w:val="single" w:sz="6" w:space="0" w:color="000000"/>
              <w:right w:val="single" w:sz="6" w:space="0" w:color="000000"/>
            </w:tcBorders>
          </w:tcPr>
          <w:p>
            <w:pPr>
              <w:pStyle w:val="TableText"/>
            </w:pPr>
            <w:r>
              <w:t>openssh-8.8p1-2.h19.eulerosv2r11</w:t>
            </w:r>
          </w:p>
          <w:p>
            <w:pPr>
              <w:pStyle w:val="TableText"/>
            </w:pPr>
            <w:r>
              <w:t>8.8p1-h5</w:t>
            </w:r>
          </w:p>
        </w:tc>
        <w:tc>
          <w:tcPr>
            <w:tcW w:w="580" w:type="pct"/>
            <w:tcBorders>
              <w:top w:val="single" w:sz="6" w:space="0" w:color="000000"/>
              <w:bottom w:val="single" w:sz="6" w:space="0" w:color="000000"/>
              <w:right w:val="single" w:sz="6" w:space="0" w:color="000000"/>
            </w:tcBorders>
          </w:tcPr>
          <w:p>
            <w:pPr>
              <w:pStyle w:val="TableText"/>
            </w:pPr>
            <w:r>
              <w:t>CVE-2024-6387</w:t>
            </w:r>
          </w:p>
        </w:tc>
        <w:tc>
          <w:tcPr>
            <w:tcW w:w="1719" w:type="pct"/>
            <w:tcBorders>
              <w:top w:val="single" w:sz="6" w:space="0" w:color="000000"/>
              <w:bottom w:val="single" w:sz="6" w:space="0" w:color="000000"/>
              <w:right w:val="single" w:sz="6" w:space="0" w:color="000000"/>
            </w:tcBorders>
          </w:tcPr>
          <w:p>
            <w:pPr>
              <w:pStyle w:val="TableText"/>
            </w:pPr>
            <w:r>
              <w:t>A security regression (CVE-2006-5051) was discovered in OpenSSH's server (sshd). There is a race condition which can lead to sshd to handle some signals in an unsafe manner. An unauthenticated, remote attacker may be able to trigger it by failing to authenticate within a set time period.</w:t>
            </w:r>
          </w:p>
        </w:tc>
        <w:tc>
          <w:tcPr>
            <w:tcW w:w="1226" w:type="pct"/>
            <w:tcBorders>
              <w:top w:val="single" w:sz="6" w:space="0" w:color="000000"/>
              <w:bottom w:val="single" w:sz="6" w:space="0" w:color="000000"/>
            </w:tcBorders>
          </w:tcPr>
          <w:p>
            <w:pPr>
              <w:pStyle w:val="TableText"/>
            </w:pPr>
            <w:r>
              <w:t>Upgrade to openssh-8.8p1-2.h34.eulerosv2r11</w:t>
            </w:r>
          </w:p>
          <w:p>
            <w:pPr>
              <w:pStyle w:val="TableText"/>
            </w:pPr>
            <w:r>
              <w:t>Upgrade to 8.8p1-18.oe2203sp1-htrunk20</w:t>
            </w:r>
          </w:p>
        </w:tc>
      </w:tr>
    </w:tbl>
    <w:p/>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44</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2024-11-30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45</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Change History</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Patch Overview</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Resolved Issues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Third-Party Software Vulnerability Fixes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eader" Target="header13.xml" /><Relationship Id="rId39" Type="http://schemas.openxmlformats.org/officeDocument/2006/relationships/header" Target="header14.xml" /><Relationship Id="rId4" Type="http://schemas.openxmlformats.org/officeDocument/2006/relationships/webSettings" Target="webSettings.xml" /><Relationship Id="rId40" Type="http://schemas.openxmlformats.org/officeDocument/2006/relationships/footer" Target="footer12.xml" /><Relationship Id="rId41" Type="http://schemas.openxmlformats.org/officeDocument/2006/relationships/footer" Target="footer13.xml" /><Relationship Id="rId42" Type="http://schemas.openxmlformats.org/officeDocument/2006/relationships/hyperlink" Target="http://web.nvd.nist.gov/view/vuln/search" TargetMode="Externa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fontTable" Target="fontTable.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49</Pages>
  <Words>8851</Words>
  <Characters>50146</Characters>
  <Application>Microsoft Office Word</Application>
  <DocSecurity>0</DocSecurity>
  <Lines>0</Lines>
  <Paragraphs>1613</Paragraphs>
  <ScaleCrop>false</ScaleCrop>
  <Company>Huawei Technologies Co.,Ltd.</Company>
  <LinksUpToDate>false</LinksUpToDate>
  <CharactersWithSpaces>57380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vt:lpwstr>
  </property>
  <property fmtid="{D5CDD505-2E9C-101B-9397-08002B2CF9AE}" pid="6" name="ProductVersion">
    <vt:lpwstr>6.1.6.SPH23</vt:lpwstr>
  </property>
  <property fmtid="{D5CDD505-2E9C-101B-9397-08002B2CF9AE}" pid="7" name="ProprietaryDeclaration">
    <vt:lpwstr>Copyright © Huawei Technologies Co., Ltd.</vt:lpwstr>
  </property>
  <property fmtid="{D5CDD505-2E9C-101B-9397-08002B2CF9AE}" pid="8" name="ReleaseDate">
    <vt:lpwstr>2024-11-30</vt:lpwstr>
  </property>
  <property fmtid="{D5CDD505-2E9C-101B-9397-08002B2CF9AE}" pid="9" name="SecretLevel">
    <vt:lpwstr>PUBLIC OPEN</vt:lpwstr>
  </property>
  <property fmtid="{D5CDD505-2E9C-101B-9397-08002B2CF9AE}" pid="10" name="Trademark&amp;ProductType">
    <vt:lpwstr>OceanStor</vt:lpwstr>
  </property>
</Properties>
</file>