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tblStyle w:val="TableGrid"/>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
      <w:tblGrid>
        <w:gridCol w:w="1461"/>
        <w:gridCol w:w="1880"/>
        <w:gridCol w:w="5385"/>
        <w:gridCol w:w="1750"/>
        <w:gridCol w:w="1463"/>
      </w:tblGrid>
      <w:tr>
        <w:tblPrEx>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Ex>
        <w:trPr>
          <w:trHeight w:val="1565"/>
        </w:trPr>
        <w:tc>
          <w:tcPr>
            <w:tcW w:w="1461" w:type="dxa"/>
            <w:vMerge w:val="restart"/>
            <w:vAlign w:val="bottom"/>
          </w:tcPr>
          <w:p>
            <w:pPr>
              <w:widowControl w:val="0"/>
              <w:ind w:left="0"/>
              <w:jc w:val="both"/>
            </w:pPr>
            <w:r>
              <w:rPr>
                <w:rFonts w:hint="eastAsia"/>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25" type="#_x0000_t74" alt="C535027123CC544791753G5E725G9@9G09=@;U9=@;]B22626B!!!!!BIHO@]b22626!!!!@5786861107DB82D738dyudso`m!enbtldou!udlqm`ud^10/enu!!!!!!!!!!!!!!!!!!!!!!!!!!!!!!!!!!!!!!!!!!!!!!!!!!!!!!!!!!!!!!!!!!!!!!!!!!!!!!!!!!!!!!!!!!!!!!!!!!!!!!!!!!!!!!!!!!!!!!!!!!!!!!!!!!!!!!!!!!!!!!!!!!!!!!!!!!!!!!!!!!!!!!!!!!!!!!!!!!!!!!!!!!!!!!!!!!!!!!!!!!!!!!!!!!!!!!!!!!!!!!!!!!!!!!!!!!!!!!!!!!!!!!!!!!!!!!!!!!!!!!!!!!!!!!!!!!!!!!!!!!!!!!!!!!!!!!!!!!!!!!!!!!!!!!!!!!!!!!!!!!!!!!!!!!!!!!!!!!!!!!!!!!!!!!!!!!!!!!!!!!!!!!!!!!!!!!!!!!!!!!!!!!!!!!!!!!!!!!!!!!!!!!!!!!!!!!!!!!!!!!!!!!!!!!!!!!!!!!!!!!!!!!!!!!!!!!!!!!!!!!!!!!!!!!!!!!!!!!!!!!!!!!!!!!!!!!!!!!!!!!!!!!!!!!!!!!!!!!!!!!!!!!!!!!!!!!!!!!!!!!!!!!!!!!!!!!!!!!!!!!!!!!!!!!!!!!!!!!!!!!!!!!!!!!!!!!!!!!!!!!!!!!!!!!!!!!!!!!!!!!!!!!!!!!!!!!!!!!!!!!!!!!!!!!!!!!!!!!!!!!!!!!!!!!!!!!!!!!!!!!!!!!!!!!!!!!!!!!!!!!!!!!!!!!!!!!!!!!!!!!!!!!!!!!!!!!!!!!!!!!!!!!!!!!!!!!!!!!!!!!!!!!!!!!!!!!!!!!!!!!!!!!!!!!!!!!!!!!!!!!!!!!!!!!!!!!!!!!!!!!!!!!!!!!!!!!!!!!!!!!!!!!!!!!!!!!!!!!!!!!!!!!!!!!!!!!!!!!!!!!!!!!!!!!!!!!!!!!!!!!!!!!!!!!!!!!!!!!!!!!!!!!!!!!!!!!!!!!!!!!!!!!!!!!!!!!!!!!!!!!!!!!!!!!!!!!!!!!!!!!!!!!!!!!!!!!!!!!!!!!!!!!!!!!!!!!!!!!!!!!!!!!!!!!!!!!!!!!!!!!!!!!!!!!!!!!!!!!!!!!!!!!!!!!!!!!!!!!!!!!!!!!!!!!!!!!!!!!!!!!!!!!!!!!!!!!!!!!!!!!!!!!!!!!!!!!!!!!!!!!!!!!!!!!!!!!!!!!!!!!!!!!!!!!!!!!!!!!!!!!!!!!!!!!!!!!!!!!!!!!!!!!!!!!!!!!!!!!!!!!!!!!!!!!!!!!!!!!!!!!!!!!!!!!!!!!!!!!!!!!!!!!!!!!!!!!!!!!!!!!!!!!!!!!!!!!!!!!!!!!!!!!!!!!!!!!!!!!!!!!!!!!!!!!!!!!!!!!!!!!!!!!!!!!!!!!!!!!!!!!!!!!!!!!!!!!!!!!!!!!!!!!!!!!!!!!!!!!!!!!!!!!!!!!!!!!!!!!!!!!!!!!!!!!!!!!!!!!!!!!!!!!!!!!!!!!!!!!!!!!!!!!!!!!!!!!!!!!!!!!!!!!!!!!!!!!!!!!!!!!!!!!!!!!!!!!!!!!!!!!!!!!!!!!!!!!!!!!!!!!!!!!!!!!!!!!!!!!!!!!!!!!!!!!!!!!!!!!!!!!!!!!!!!!!!!!!!!!!!!!!!!!!!!!!!!!!!!!!!!!!!!!!!!!!!!!!!!!!!!!!!!!!!!!!!!!!!!!!!!!!!!!!!!!!!!!!!!!!!!!!!!!!!!!!!!!!!!!!!!!!!!!!!!!!!!!!!!!!!!!!!!!!!!!!!!!!!!!!!!!!!!!!!!!!!!!!!!!!!!!!!!!!!!!!!!!!!!!!!!!!!!!!!!!!!!!!!!!!!!!!!!!!!!!!!!!!!!!!!!!!!!!!!!!!!!!!!!!!!!!!!!!!!!!!!!!!!!!!!!!!!!!!!!!!!!!!!!!!!!!!!!!!!!!!!!!!!!!!!!!!!!!!!!!!!!!!!!!!!!!!!!!!!!!!!!!!!!!!!!!!!!!!!!!!!!!!!!!!!!!!!!!!!!!!!!!!!!!!!!!!!!!!!!!!!!!!!!!!!!!!!!!!!!!!!!!!!!!!!!!!!!!!!!!!!!!!!!!!!!!!!!!!!!!!!!!!!!!!!!!!!!!!!!!!!!!!!!!!!!!!!!!!!!!!!!!!!!!!!!!!!!!!!!!!!!!!!!!!!!!!!!!!!!!!!!!!!!!!!!!!!!!!!!!!!!!!!!!!!!!!!!!!!!!!!!!!!!!!!!!!!!!!!!!!!!!!!!!!!!!!!!!!!!!!!!!!!!!!!!!!!!!!!!!!!!!!!!!!!!!!!!!!!!!!!!!!!!!!!!!!!!!!!!!!!!!!!!!!!!!!!!!!!!!!!!!!!!!!!!!!!!!!!!!!!!!!!!!!!!!!!!!!!!!1!1" style="width:0.05pt;height:0.05pt;margin-top:0;margin-left:0;position:absolute;visibility:hidden;z-index:251658240">
                  <w10:anchorlock/>
                </v:shape>
              </w:pict>
            </w:r>
          </w:p>
        </w:tc>
        <w:tc>
          <w:tcPr>
            <w:tcW w:w="9015" w:type="dxa"/>
            <w:gridSpan w:val="3"/>
            <w:vAlign w:val="bottom"/>
          </w:tcPr>
          <w:p>
            <w:pPr>
              <w:widowControl w:val="0"/>
              <w:spacing w:before="0" w:after="0" w:line="240" w:lineRule="auto"/>
              <w:ind w:left="0"/>
              <w:jc w:val="right"/>
            </w:pPr>
            <w:r>
              <w:fldChar w:fldCharType="begin"/>
            </w:r>
            <w:r>
              <w:rPr>
                <w:rFonts w:ascii="Arial" w:eastAsia="黑体"/>
                <w:b/>
                <w:sz w:val="24"/>
                <w:szCs w:val="24"/>
              </w:rPr>
              <w:instrText xml:space="preserve"> DOCPROPERTY  PartNumber </w:instrText>
            </w:r>
            <w:r>
              <w:fldChar w:fldCharType="separate"/>
            </w:r>
            <w:r>
              <w:fldChar w:fldCharType="end"/>
            </w:r>
          </w:p>
        </w:tc>
        <w:tc>
          <w:tcPr>
            <w:tcW w:w="1463" w:type="dxa"/>
            <w:vMerge w:val="restart"/>
            <w:vAlign w:val="bottom"/>
          </w:tcPr>
          <w:p>
            <w:pPr>
              <w:widowControl w:val="0"/>
              <w:spacing w:before="0" w:after="0" w:line="240" w:lineRule="auto"/>
              <w:ind w:left="0"/>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pStyle w:val="Cover1"/>
              <w:widowControl w:val="0"/>
            </w:pPr>
          </w:p>
        </w:tc>
        <w:tc>
          <w:tcPr>
            <w:tcW w:w="9015" w:type="dxa"/>
            <w:gridSpan w:val="3"/>
            <w:shd w:val="clear" w:color="auto" w:fill="auto"/>
            <w:vAlign w:val="bottom"/>
          </w:tcPr>
          <w:p>
            <w:pPr>
              <w:pStyle w:val="Cover2"/>
              <w:jc w:val="left"/>
              <w:rPr>
                <w:rFonts w:hint="eastAsia"/>
              </w:rPr>
            </w:pPr>
            <w:r>
              <w:fldChar w:fldCharType="begin"/>
            </w:r>
            <w:r>
              <w:instrText xml:space="preserve"> </w:instrText>
            </w:r>
            <w:r>
              <w:rPr>
                <w:rFonts w:hint="eastAsia"/>
                <w:b/>
              </w:rPr>
              <w:instrText>DOCPROPERTY  "Product&amp;Project Name"</w:instrText>
            </w:r>
            <w:r>
              <w:instrText xml:space="preserve"> </w:instrText>
            </w:r>
            <w:r>
              <w:fldChar w:fldCharType="separate"/>
            </w:r>
            <w:r>
              <w:rPr>
                <w:rFonts w:hint="eastAsia"/>
                <w:b/>
              </w:rPr>
              <w:t>OceanStor</w:t>
            </w:r>
            <w:r>
              <w:fldChar w:fldCharType="end"/>
            </w:r>
          </w:p>
          <w:p>
            <w:pPr>
              <w:pStyle w:val="Cover2"/>
              <w:jc w:val="left"/>
              <w:rPr>
                <w:rFonts w:hint="eastAsia"/>
                <w:lang w:eastAsia="zh-CN"/>
              </w:rPr>
            </w:pPr>
            <w:r>
              <w:fldChar w:fldCharType="begin"/>
            </w:r>
            <w:r>
              <w:instrText xml:space="preserve"> </w:instrText>
            </w:r>
            <w:r>
              <w:rPr>
                <w:rFonts w:hint="eastAsia"/>
                <w:b/>
              </w:rPr>
              <w:instrText>DOCPROPERTY  ProductVersion</w:instrText>
            </w:r>
            <w:r>
              <w:instrText xml:space="preserve"> </w:instrText>
            </w:r>
            <w:r>
              <w:fldChar w:fldCharType="separate"/>
            </w:r>
            <w:r>
              <w:rPr>
                <w:rFonts w:hint="eastAsia"/>
                <w:b/>
              </w:rPr>
              <w:t>6.1.8.SPH20</w:t>
            </w:r>
            <w:r>
              <w:fldChar w:fldCharType="end"/>
            </w:r>
          </w:p>
        </w:tc>
        <w:tc>
          <w:tcPr>
            <w:tcW w:w="1463" w:type="dxa"/>
            <w:vMerge/>
            <w:vAlign w:val="bottom"/>
          </w:tcPr>
          <w:p>
            <w:pPr>
              <w:pStyle w:val="Cover5"/>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spacing w:before="0" w:after="0" w:line="240" w:lineRule="auto"/>
              <w:ind w:left="0"/>
            </w:pPr>
          </w:p>
        </w:tc>
        <w:tc>
          <w:tcPr>
            <w:tcW w:w="9015" w:type="dxa"/>
            <w:gridSpan w:val="3"/>
            <w:shd w:val="clear" w:color="auto" w:fill="auto"/>
          </w:tcPr>
          <w:p>
            <w:pPr>
              <w:pStyle w:val="Cover2"/>
              <w:spacing w:before="80" w:after="80" w:line="240" w:lineRule="auto"/>
              <w:jc w:val="left"/>
              <w:rPr>
                <w:rFonts w:hint="eastAsia"/>
                <w:sz w:val="48"/>
                <w:szCs w:val="48"/>
                <w:lang w:eastAsia="zh-CN"/>
              </w:rPr>
            </w:pPr>
            <w:r>
              <w:rPr>
                <w:sz w:val="48"/>
                <w:szCs w:val="48"/>
              </w:rPr>
              <w:fldChar w:fldCharType="begin"/>
            </w:r>
            <w:r>
              <w:rPr>
                <w:sz w:val="48"/>
                <w:szCs w:val="48"/>
              </w:rPr>
              <w:instrText xml:space="preserve"> </w:instrText>
            </w:r>
            <w:r>
              <w:rPr>
                <w:rFonts w:hint="eastAsia"/>
                <w:b/>
                <w:sz w:val="48"/>
                <w:szCs w:val="48"/>
              </w:rPr>
              <w:instrText>DOCPROPERTY  DocumentName</w:instrText>
            </w:r>
            <w:r>
              <w:rPr>
                <w:sz w:val="48"/>
                <w:szCs w:val="48"/>
              </w:rPr>
              <w:instrText xml:space="preserve"> </w:instrText>
            </w:r>
            <w:r>
              <w:rPr>
                <w:sz w:val="48"/>
                <w:szCs w:val="48"/>
              </w:rPr>
              <w:fldChar w:fldCharType="separate"/>
            </w:r>
            <w:r>
              <w:rPr>
                <w:rFonts w:hint="eastAsia"/>
                <w:b/>
                <w:sz w:val="48"/>
                <w:szCs w:val="48"/>
              </w:rPr>
              <w:t>Patch Notes</w:t>
            </w:r>
            <w:r>
              <w:rPr>
                <w:sz w:val="48"/>
                <w:szCs w:val="48"/>
              </w:rPr>
              <w:fldChar w:fldCharType="end"/>
            </w:r>
          </w:p>
        </w:tc>
        <w:tc>
          <w:tcPr>
            <w:tcW w:w="1463" w:type="dxa"/>
            <w:vMerge/>
            <w:vAlign w:val="bottom"/>
          </w:tcPr>
          <w:p>
            <w:pPr>
              <w:pStyle w:val="Cover4"/>
            </w:pPr>
          </w:p>
        </w:tc>
      </w:tr>
      <w:tr>
        <w:tblPrEx>
          <w:tblW w:w="11939" w:type="dxa"/>
          <w:tblInd w:w="0" w:type="dxa"/>
          <w:tblLayout w:type="fixed"/>
          <w:tblCellMar>
            <w:left w:w="0" w:type="dxa"/>
            <w:right w:w="0" w:type="dxa"/>
          </w:tblCellMar>
          <w:tblLook w:val="01E0"/>
        </w:tblPrEx>
        <w:trPr>
          <w:trHeight w:val="326"/>
        </w:trPr>
        <w:tc>
          <w:tcPr>
            <w:tcW w:w="1461" w:type="dxa"/>
            <w:vMerge/>
            <w:shd w:val="clear" w:color="auto" w:fill="auto"/>
            <w:vAlign w:val="bottom"/>
          </w:tcPr>
          <w:p>
            <w:pPr>
              <w:widowControl w:val="0"/>
              <w:spacing w:before="0" w:after="0" w:line="240" w:lineRule="auto"/>
              <w:ind w:left="0"/>
            </w:pPr>
          </w:p>
        </w:tc>
        <w:tc>
          <w:tcPr>
            <w:tcW w:w="1880" w:type="dxa"/>
            <w:shd w:val="clear" w:color="auto" w:fill="auto"/>
            <w:vAlign w:val="center"/>
          </w:tcPr>
          <w:p>
            <w:pPr>
              <w:pStyle w:val="Cover5"/>
              <w:jc w:val="left"/>
              <w:rPr>
                <w:b/>
              </w:rPr>
            </w:pPr>
            <w:r>
              <w:rPr>
                <w:b/>
              </w:rPr>
              <w:t>Issue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DocumentVersion</w:instrText>
            </w:r>
            <w:r>
              <w:instrText xml:space="preserve"> </w:instrText>
            </w:r>
            <w:r>
              <w:fldChar w:fldCharType="separate"/>
            </w:r>
            <w:r>
              <w:rPr>
                <w:rFonts w:hint="eastAsia"/>
                <w:b/>
              </w:rPr>
              <w:t>01</w:t>
            </w:r>
            <w:r>
              <w:fldChar w:fldCharType="end"/>
            </w:r>
          </w:p>
        </w:tc>
        <w:tc>
          <w:tcPr>
            <w:tcW w:w="1462" w:type="dxa"/>
            <w:vMerge/>
            <w:vAlign w:val="bottom"/>
          </w:tcPr>
          <w:p>
            <w:pPr>
              <w:ind w:left="0"/>
            </w:pPr>
          </w:p>
        </w:tc>
      </w:tr>
      <w:tr>
        <w:tblPrEx>
          <w:tblW w:w="11939" w:type="dxa"/>
          <w:tblInd w:w="0" w:type="dxa"/>
          <w:tblLayout w:type="fixed"/>
          <w:tblCellMar>
            <w:left w:w="0" w:type="dxa"/>
            <w:right w:w="0" w:type="dxa"/>
          </w:tblCellMar>
          <w:tblLook w:val="01E0"/>
        </w:tblPrEx>
        <w:trPr>
          <w:trHeight w:val="325"/>
        </w:trPr>
        <w:tc>
          <w:tcPr>
            <w:tcW w:w="1461" w:type="dxa"/>
            <w:vMerge/>
            <w:shd w:val="clear" w:color="auto" w:fill="auto"/>
            <w:vAlign w:val="bottom"/>
          </w:tcPr>
          <w:p>
            <w:pPr>
              <w:widowControl w:val="0"/>
              <w:spacing w:before="0" w:after="0" w:line="240" w:lineRule="auto"/>
              <w:ind w:left="0"/>
              <w:jc w:val="both"/>
            </w:pPr>
          </w:p>
        </w:tc>
        <w:tc>
          <w:tcPr>
            <w:tcW w:w="1880" w:type="dxa"/>
            <w:shd w:val="clear" w:color="auto" w:fill="auto"/>
            <w:vAlign w:val="center"/>
          </w:tcPr>
          <w:p>
            <w:pPr>
              <w:pStyle w:val="Cover5"/>
              <w:jc w:val="left"/>
              <w:rPr>
                <w:b/>
              </w:rPr>
            </w:pPr>
            <w:r>
              <w:rPr>
                <w:b/>
              </w:rPr>
              <w:t>Date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ReleaseDate</w:instrText>
            </w:r>
            <w:r>
              <w:instrText xml:space="preserve"> </w:instrText>
            </w:r>
            <w:r>
              <w:fldChar w:fldCharType="separate"/>
            </w:r>
            <w:r>
              <w:rPr>
                <w:rFonts w:hint="eastAsia"/>
                <w:b/>
              </w:rPr>
              <w:t>2025-04-29</w:t>
            </w:r>
            <w:r>
              <w:fldChar w:fldCharType="end"/>
            </w:r>
          </w:p>
        </w:tc>
        <w:tc>
          <w:tcPr>
            <w:tcW w:w="1463" w:type="dxa"/>
            <w:vMerge/>
            <w:vAlign w:val="bottom"/>
          </w:tcPr>
          <w:p>
            <w:pPr>
              <w:ind w:left="0"/>
            </w:pPr>
          </w:p>
        </w:tc>
      </w:tr>
      <w:tr>
        <w:tblPrEx>
          <w:tblW w:w="11939" w:type="dxa"/>
          <w:tblInd w:w="0" w:type="dxa"/>
          <w:tblLayout w:type="fixed"/>
          <w:tblCellMar>
            <w:left w:w="0" w:type="dxa"/>
            <w:right w:w="0" w:type="dxa"/>
          </w:tblCellMar>
          <w:tblLook w:val="01E0"/>
        </w:tblPrEx>
        <w:trPr>
          <w:trHeight w:val="8786"/>
        </w:trPr>
        <w:tc>
          <w:tcPr>
            <w:tcW w:w="11939" w:type="dxa"/>
            <w:gridSpan w:val="5"/>
            <w:shd w:val="clear" w:color="auto" w:fill="auto"/>
            <w:vAlign w:val="center"/>
          </w:tcPr>
          <w:p>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83.9pt;height:250pt;mso-wrap-style:square;visibility:visible">
                  <v:imagedata r:id="rId6" o:title="方圆ok1"/>
                </v:shape>
              </w:pict>
            </w:r>
          </w:p>
        </w:tc>
      </w:tr>
      <w:tr>
        <w:tblPrEx>
          <w:tblW w:w="11939" w:type="dxa"/>
          <w:tblInd w:w="0" w:type="dxa"/>
          <w:tblLayout w:type="fixed"/>
          <w:tblCellMar>
            <w:left w:w="0" w:type="dxa"/>
            <w:right w:w="0" w:type="dxa"/>
          </w:tblCellMar>
          <w:tblLook w:val="01E0"/>
        </w:tblPrEx>
        <w:trPr>
          <w:trHeight w:val="1697"/>
        </w:trPr>
        <w:tc>
          <w:tcPr>
            <w:tcW w:w="1461" w:type="dxa"/>
            <w:shd w:val="clear" w:color="auto" w:fill="auto"/>
            <w:vAlign w:val="bottom"/>
          </w:tcPr>
          <w:p>
            <w:pPr>
              <w:widowControl w:val="0"/>
              <w:spacing w:before="0" w:after="0" w:line="240" w:lineRule="auto"/>
              <w:ind w:left="0"/>
              <w:jc w:val="both"/>
            </w:pPr>
          </w:p>
        </w:tc>
        <w:tc>
          <w:tcPr>
            <w:tcW w:w="7265" w:type="dxa"/>
            <w:gridSpan w:val="2"/>
            <w:vAlign w:val="bottom"/>
          </w:tcPr>
          <w:p>
            <w:pPr>
              <w:pStyle w:val="Cover4"/>
              <w:jc w:val="left"/>
              <w:rPr>
                <w:sz w:val="21"/>
              </w:rPr>
            </w:pPr>
            <w:r>
              <w:rPr>
                <w:rFonts w:hint="eastAsia"/>
              </w:rPr>
              <w:t>HUAWEI TECHNOLOGIES CO., LTD.</w:t>
            </w:r>
          </w:p>
        </w:tc>
        <w:tc>
          <w:tcPr>
            <w:tcW w:w="1750" w:type="dxa"/>
            <w:vAlign w:val="center"/>
          </w:tcPr>
          <w:p>
            <w:pPr>
              <w:widowControl w:val="0"/>
              <w:spacing w:before="0" w:after="0" w:line="240" w:lineRule="auto"/>
              <w:ind w:left="0"/>
              <w:jc w:val="center"/>
            </w:pPr>
            <w:r>
              <w:rPr>
                <w:noProof/>
              </w:rPr>
              <w:pict>
                <v:shape id="图片 2" o:spid="_x0000_i1027" type="#_x0000_t75" alt="附件1-16K" style="width:74.15pt;height:1in;mso-wrap-style:square;visibility:visible">
                  <v:imagedata r:id="rId7" o:title="附件1-16K"/>
                </v:shape>
              </w:pict>
            </w:r>
          </w:p>
        </w:tc>
        <w:tc>
          <w:tcPr>
            <w:tcW w:w="1463" w:type="dxa"/>
            <w:vAlign w:val="bottom"/>
          </w:tcPr>
          <w:p>
            <w:pPr>
              <w:spacing w:before="0" w:after="0" w:line="240" w:lineRule="auto"/>
              <w:ind w:left="0"/>
            </w:pPr>
          </w:p>
        </w:tc>
      </w:tr>
    </w:tbl>
    <w:p>
      <w:pPr>
        <w:ind w:left="0"/>
        <w:rPr>
          <w:rFonts w:hint="eastAsia"/>
        </w:rPr>
        <w:sectPr>
          <w:headerReference w:type="even" r:id="rId8"/>
          <w:headerReference w:type="default" r:id="rId9"/>
          <w:footerReference w:type="even" r:id="rId10"/>
          <w:footerReference w:type="default" r:id="rId11"/>
          <w:headerReference w:type="first" r:id="rId12"/>
          <w:footerReference w:type="first" r:id="rId13"/>
          <w:pgSz w:w="11907" w:h="16840" w:code="9"/>
          <w:pgMar w:top="0" w:right="0" w:bottom="0" w:left="0" w:header="0" w:footer="0" w:gutter="0"/>
          <w:pgNumType w:fmt="lowerRoman" w:start="1"/>
          <w:cols w:space="425"/>
          <w:docGrid w:linePitch="312"/>
        </w:sect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9640"/>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c>
          <w:tcPr>
            <w:tcW w:w="9640" w:type="dxa"/>
          </w:tcPr>
          <w:p>
            <w:pPr>
              <w:pStyle w:val="Cover3"/>
              <w:jc w:val="left"/>
            </w:pPr>
            <w:r>
              <w:rPr>
                <w:b/>
                <w:kern w:val="0"/>
              </w:rPr>
              <w:t xml:space="preserve">Copyright © Huawei Technologies Co., Ltd. </w:t>
            </w:r>
            <w:r>
              <w:rPr>
                <w:rFonts w:hint="eastAsia"/>
                <w:b/>
                <w:kern w:val="0"/>
              </w:rPr>
              <w:t>2025</w:t>
            </w:r>
            <w:r>
              <w:rPr>
                <w:b/>
                <w:kern w:val="0"/>
              </w:rPr>
              <w:t>. All rights reserved.</w:t>
            </w:r>
          </w:p>
          <w:p>
            <w:pPr>
              <w:pStyle w:val="CoverText"/>
              <w:jc w:val="left"/>
            </w:pPr>
            <w:r>
              <w:t>No part of this document may be reproduced or transmitted in any form or by any means without prior written consent of Huawei Technologies Co., Ltd.</w:t>
            </w:r>
          </w:p>
          <w:p>
            <w:pPr>
              <w:pStyle w:val="Cover3"/>
              <w:rPr>
                <w:rFonts w:hint="eastAsia"/>
              </w:rPr>
            </w:pPr>
          </w:p>
          <w:p>
            <w:pPr>
              <w:pStyle w:val="Cover3"/>
              <w:jc w:val="left"/>
            </w:pPr>
            <w:r>
              <w:rPr>
                <w:b/>
                <w:kern w:val="0"/>
              </w:rPr>
              <w:t>Trademarks and Permissions</w:t>
            </w:r>
          </w:p>
          <w:p>
            <w:pPr>
              <w:pStyle w:val="CoverText"/>
              <w:jc w:val="left"/>
            </w:pPr>
            <w:r>
              <w:rPr>
                <w:position w:val="-1"/>
              </w:rPr>
              <w:pict>
                <v:shape id="_x0000_i1028" type="#_x0000_t75" style="width:23.25pt;height:22.5pt">
                  <v:imagedata r:id="rId7" o:title="附件3-图"/>
                </v:shape>
              </w:pict>
            </w:r>
            <w:r>
              <w:t xml:space="preserve"> and other Huawei trademarks are trademarks of Huawei Technologies Co., Ltd.</w:t>
            </w:r>
          </w:p>
          <w:p>
            <w:pPr>
              <w:pStyle w:val="CoverText"/>
              <w:jc w:val="left"/>
            </w:pPr>
            <w:r>
              <w:t>All other trademarks and trade names mentioned in this document are the property of their respective holders.</w:t>
            </w:r>
          </w:p>
          <w:p>
            <w:pPr>
              <w:pStyle w:val="CoverText"/>
            </w:pPr>
          </w:p>
          <w:p>
            <w:pPr>
              <w:pStyle w:val="Cover3"/>
              <w:jc w:val="left"/>
              <w:rPr>
                <w:kern w:val="0"/>
              </w:rPr>
            </w:pPr>
            <w:r>
              <w:rPr>
                <w:b/>
                <w:kern w:val="0"/>
              </w:rPr>
              <w:t>Notice</w:t>
            </w:r>
          </w:p>
          <w:p>
            <w:pPr>
              <w:pStyle w:val="CoverText"/>
              <w:jc w:val="left"/>
              <w:rPr>
                <w:rFonts w:hint="eastAsia"/>
              </w:rPr>
            </w:pPr>
            <w:r>
              <w:t>The purchased products, services and features are stipulated by the contract made between Huawei and the customer. All or part of the products, services and features described in this document may not be within the purchase scope or the usage scope. Unless otherwise specified in the contract, all statements, information, and recommendations in this document are provided "AS IS" without warranties, guarantees or representations of any kind, either express or implied.</w:t>
            </w:r>
          </w:p>
          <w:p>
            <w:pPr>
              <w:pStyle w:val="CoverText"/>
              <w:ind w:left="0"/>
              <w:jc w:val="left"/>
              <w:rPr>
                <w:rFonts w:hint="eastAsia"/>
              </w:rPr>
            </w:pPr>
            <w:r>
              <w:rPr>
                <w:rFonts w:eastAsia="黑体" w:hint="eastAsia"/>
                <w:snapToGrid w:val="0"/>
                <w:kern w:val="0"/>
                <w:sz w:val="20"/>
                <w:szCs w:val="20"/>
              </w:rPr>
              <w:t>The information in this document is subject to change without notice. Every effort has been made in the preparation of this document to ensure accuracy of the contents, but all statements, information, and recommendations in this document do not constitute a warranty of any kind, express or implied.</w:t>
            </w:r>
          </w:p>
        </w:tc>
      </w:tr>
    </w:tbl>
    <w:p>
      <w:pPr>
        <w:ind w:left="0"/>
        <w:rPr>
          <w:rFonts w:hint="eastAsia"/>
        </w:rPr>
      </w:pPr>
    </w:p>
    <w:p>
      <w:pPr>
        <w:ind w:left="0"/>
        <w:rPr>
          <w:rFonts w:hint="eastAsia"/>
        </w:rPr>
      </w:pPr>
    </w:p>
    <w:p>
      <w:pPr>
        <w:ind w:left="0"/>
      </w:pPr>
    </w:p>
    <w:p>
      <w:pPr>
        <w:ind w:left="0"/>
        <w:rPr>
          <w:rFonts w:hint="eastAsia"/>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155"/>
        <w:gridCol w:w="8485"/>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val="634"/>
        </w:trPr>
        <w:tc>
          <w:tcPr>
            <w:tcW w:w="9640" w:type="dxa"/>
            <w:gridSpan w:val="2"/>
          </w:tcPr>
          <w:p>
            <w:pPr>
              <w:pStyle w:val="Cover2"/>
              <w:jc w:val="left"/>
              <w:rPr>
                <w:rFonts w:cs="Times New Roman"/>
                <w:lang w:eastAsia="zh-CN"/>
              </w:rPr>
            </w:pPr>
            <w:r>
              <w:t>Huawei Technologies Co., Ltd.</w:t>
            </w:r>
          </w:p>
        </w:tc>
      </w:tr>
      <w:tr>
        <w:tblPrEx>
          <w:tblW w:w="0" w:type="auto"/>
          <w:tblInd w:w="113" w:type="dxa"/>
          <w:tblLook w:val="01E0"/>
        </w:tblPrEx>
        <w:trPr>
          <w:trHeight w:val="371"/>
        </w:trPr>
        <w:tc>
          <w:tcPr>
            <w:tcW w:w="1155" w:type="dxa"/>
          </w:tcPr>
          <w:p>
            <w:pPr>
              <w:pStyle w:val="CoverText"/>
            </w:pPr>
            <w:r>
              <w:t>Address:</w:t>
            </w:r>
          </w:p>
        </w:tc>
        <w:tc>
          <w:tcPr>
            <w:tcW w:w="8485" w:type="dxa"/>
          </w:tcPr>
          <w:p>
            <w:pPr>
              <w:pStyle w:val="CoverText"/>
            </w:pPr>
            <w:r>
              <w:t>Huawei Industrial Base</w:t>
            </w:r>
          </w:p>
          <w:p>
            <w:pPr>
              <w:pStyle w:val="CoverText"/>
            </w:pPr>
            <w:r>
              <w:t>Bantian, Longgang</w:t>
            </w:r>
          </w:p>
          <w:p>
            <w:pPr>
              <w:pStyle w:val="CoverText"/>
            </w:pPr>
            <w:r>
              <w:t>Shenzhen 518129</w:t>
            </w:r>
          </w:p>
          <w:p>
            <w:pPr>
              <w:pStyle w:val="CoverText"/>
            </w:pPr>
            <w:r>
              <w:t>People's Republic of China</w:t>
            </w:r>
          </w:p>
        </w:tc>
      </w:tr>
      <w:tr>
        <w:tblPrEx>
          <w:tblW w:w="0" w:type="auto"/>
          <w:tblInd w:w="113" w:type="dxa"/>
          <w:tblLook w:val="01E0"/>
        </w:tblPrEx>
        <w:trPr>
          <w:trHeight w:val="337"/>
        </w:trPr>
        <w:tc>
          <w:tcPr>
            <w:tcW w:w="1155" w:type="dxa"/>
          </w:tcPr>
          <w:p>
            <w:pPr>
              <w:pStyle w:val="CoverText"/>
            </w:pPr>
            <w:r>
              <w:t>Website:</w:t>
            </w:r>
          </w:p>
        </w:tc>
        <w:tc>
          <w:tcPr>
            <w:tcW w:w="8485" w:type="dxa"/>
          </w:tcPr>
          <w:p>
            <w:pPr>
              <w:pStyle w:val="CoverText"/>
            </w:pPr>
            <w:hyperlink r:id="rId14" w:history="1">
              <w:r>
                <w:rPr>
                  <w:rStyle w:val="Hyperlink"/>
                  <w:lang w:val="pt-BR"/>
                </w:rPr>
                <w:t>https://e.huawei.com</w:t>
              </w:r>
            </w:hyperlink>
          </w:p>
        </w:tc>
      </w:tr>
    </w:tbl>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pStyle w:val="TableText"/>
      </w:pPr>
      <w:r>
        <w:rPr>
          <w:rFonts w:hint="default"/>
        </w:rPr>
        <w:br w:type="page"/>
      </w:r>
    </w:p>
    <w:tbl>
      <w:tblPr>
        <w:tblW w:w="0" w:type="auto"/>
        <w:tblInd w:w="113" w:type="dxa"/>
        <w:tblLook w:val="01E0"/>
      </w:tblPr>
      <w:tblGrid>
        <w:gridCol w:w="9640"/>
      </w:tblGrid>
      <w:tr>
        <w:tblPrEx>
          <w:tblW w:w="0" w:type="auto"/>
          <w:tblInd w:w="113" w:type="dxa"/>
          <w:tblLook w:val="01E0"/>
        </w:tblPrEx>
        <w:trPr>
          <w:trHeight w:val="634"/>
        </w:trPr>
        <w:tc>
          <w:tcPr>
            <w:tcW w:w="9640" w:type="dxa"/>
            <w:shd w:val="clear" w:color="auto" w:fill="auto"/>
          </w:tcPr>
          <w:p>
            <w:pPr>
              <w:pStyle w:val="Cover2"/>
              <w:widowControl w:val="0"/>
              <w:jc w:val="both"/>
            </w:pPr>
            <w:r>
              <w:rPr>
                <w:lang w:eastAsia="zh-CN"/>
              </w:rPr>
              <w:t>Security Declaration</w:t>
            </w:r>
          </w:p>
        </w:tc>
      </w:tr>
      <w:tr>
        <w:tblPrEx>
          <w:tblW w:w="0" w:type="auto"/>
          <w:tblInd w:w="113" w:type="dxa"/>
          <w:tblLook w:val="01E0"/>
        </w:tblPrEx>
        <w:trPr>
          <w:trHeight w:val="337"/>
        </w:trPr>
        <w:tc>
          <w:tcPr>
            <w:tcW w:w="9640" w:type="dxa"/>
            <w:shd w:val="clear" w:color="auto" w:fill="auto"/>
          </w:tcPr>
          <w:p>
            <w:pPr>
              <w:pStyle w:val="Cover3"/>
              <w:jc w:val="both"/>
            </w:pPr>
            <w:r>
              <w:rPr>
                <w:rFonts w:hint="eastAsia"/>
                <w:b/>
              </w:rPr>
              <w:t>Product Lifecycle</w:t>
            </w:r>
          </w:p>
          <w:p>
            <w:pPr>
              <w:pStyle w:val="CoverText"/>
              <w:widowControl w:val="0"/>
              <w:ind w:left="0"/>
              <w:jc w:val="both"/>
            </w:pPr>
            <w:r>
              <w:t xml:space="preserve">Huawei's regulations on product lifecycle are subject to the </w:t>
            </w:r>
            <w:r>
              <w:rPr>
                <w:i/>
              </w:rPr>
              <w:t>Product End of Life Policy</w:t>
            </w:r>
            <w:r>
              <w:t>. For details about this policy, visit the following web page:</w:t>
            </w:r>
          </w:p>
          <w:p>
            <w:pPr>
              <w:pStyle w:val="CoverText"/>
              <w:widowControl w:val="0"/>
            </w:pPr>
            <w:hyperlink r:id="rId15" w:history="1">
              <w:r>
                <w:rPr>
                  <w:rStyle w:val="Hyperlink"/>
                </w:rPr>
                <w:t>https://support.huawei.com/ecolumnsweb/en/warranty-policy</w:t>
              </w:r>
            </w:hyperlink>
          </w:p>
          <w:p>
            <w:pPr>
              <w:pStyle w:val="CoverText"/>
              <w:widowControl w:val="0"/>
            </w:pPr>
          </w:p>
          <w:p>
            <w:pPr>
              <w:pStyle w:val="Cover3"/>
              <w:jc w:val="both"/>
            </w:pPr>
            <w:r>
              <w:rPr>
                <w:rFonts w:hint="eastAsia"/>
                <w:b/>
              </w:rPr>
              <w:t>Vulnerability</w:t>
            </w:r>
          </w:p>
          <w:p>
            <w:pPr>
              <w:pStyle w:val="CoverText"/>
              <w:widowControl w:val="0"/>
              <w:ind w:left="0"/>
              <w:jc w:val="both"/>
            </w:pPr>
            <w:r>
              <w:t xml:space="preserve">Huawei's regulations on product vulnerability management are subject to the </w:t>
            </w:r>
            <w:r>
              <w:rPr>
                <w:i/>
              </w:rPr>
              <w:t>Vul. Response Process.</w:t>
            </w:r>
            <w:r>
              <w:t xml:space="preserve"> For details about this process, visit the following web page:</w:t>
            </w:r>
          </w:p>
          <w:p>
            <w:pPr>
              <w:pStyle w:val="CoverText"/>
              <w:widowControl w:val="0"/>
              <w:ind w:left="0"/>
              <w:jc w:val="both"/>
            </w:pPr>
            <w:hyperlink r:id="rId16" w:history="1">
              <w:r>
                <w:rPr>
                  <w:rStyle w:val="Hyperlink"/>
                </w:rPr>
                <w:t>https://www.huawei.com/en/psirt/vul-response-process</w:t>
              </w:r>
            </w:hyperlink>
          </w:p>
          <w:p>
            <w:pPr>
              <w:pStyle w:val="CoverText"/>
              <w:widowControl w:val="0"/>
              <w:ind w:left="0"/>
              <w:jc w:val="both"/>
            </w:pPr>
            <w:r>
              <w:t>For vulnerability information, enterprise customers can visit the following web page:</w:t>
            </w:r>
          </w:p>
          <w:p>
            <w:pPr>
              <w:pStyle w:val="CoverText"/>
              <w:widowControl w:val="0"/>
            </w:pPr>
            <w:hyperlink r:id="rId17" w:history="1">
              <w:r>
                <w:rPr>
                  <w:rStyle w:val="Hyperlink"/>
                </w:rPr>
                <w:t>https://securitybulletin.huawei.com/enterprise/en/security-advisory</w:t>
              </w:r>
            </w:hyperlink>
          </w:p>
          <w:p>
            <w:pPr>
              <w:pStyle w:val="CoverText"/>
              <w:widowControl w:val="0"/>
            </w:pPr>
          </w:p>
          <w:p>
            <w:pPr>
              <w:pStyle w:val="Cover3"/>
              <w:jc w:val="both"/>
            </w:pPr>
            <w:r>
              <w:rPr>
                <w:rFonts w:hint="eastAsia"/>
                <w:b/>
              </w:rPr>
              <w:t>Initial Digital Certificate</w:t>
            </w:r>
          </w:p>
          <w:p>
            <w:pPr>
              <w:pStyle w:val="CoverText"/>
              <w:widowControl w:val="0"/>
              <w:ind w:left="0"/>
              <w:jc w:val="both"/>
            </w:pPr>
            <w:r>
              <w:t xml:space="preserve">The Initial digital certificates on Huawei devices are subject to the </w:t>
            </w:r>
            <w:r>
              <w:rPr>
                <w:i/>
              </w:rPr>
              <w:t>Rights and Responsibilities of Initial Digital Certificates on Huawei Devices.</w:t>
            </w:r>
            <w:r>
              <w:t xml:space="preserve"> For details about this document, visit the following web page:</w:t>
            </w:r>
          </w:p>
          <w:p>
            <w:pPr>
              <w:pStyle w:val="CoverText"/>
              <w:widowControl w:val="0"/>
            </w:pPr>
            <w:hyperlink r:id="rId18" w:history="1">
              <w:r>
                <w:rPr>
                  <w:rStyle w:val="Hyperlink"/>
                </w:rPr>
                <w:t>https://support.huawei.com/enterprise/en/bulletins-service/ENEWS2000015789</w:t>
              </w:r>
            </w:hyperlink>
          </w:p>
          <w:p>
            <w:pPr>
              <w:pStyle w:val="CoverText"/>
              <w:widowControl w:val="0"/>
            </w:pPr>
          </w:p>
          <w:p>
            <w:pPr>
              <w:pStyle w:val="Cover3"/>
              <w:jc w:val="both"/>
            </w:pPr>
            <w:r>
              <w:rPr>
                <w:rFonts w:hint="eastAsia"/>
                <w:b/>
              </w:rPr>
              <w:t>Huawei Enterprise End User License Agreement</w:t>
            </w:r>
          </w:p>
          <w:p>
            <w:pPr>
              <w:pStyle w:val="CoverText"/>
              <w:widowControl w:val="0"/>
              <w:ind w:left="0"/>
              <w:jc w:val="both"/>
            </w:pPr>
            <w:r>
              <w:t>This agreement is the end user license agreement between you (an individual, company, or any other entity) and Huawei for the use of the Huawei Software. Your use of the Huawei Software will be deemed as your acceptance of the terms mentioned in this agreement. For details about this agreement, visit the following web page:</w:t>
            </w:r>
          </w:p>
          <w:p>
            <w:pPr>
              <w:pStyle w:val="CoverText"/>
              <w:widowControl w:val="0"/>
            </w:pPr>
            <w:hyperlink r:id="rId19" w:history="1">
              <w:r>
                <w:rPr>
                  <w:rStyle w:val="Hyperlink"/>
                </w:rPr>
                <w:t>https://e.huawei.com/en/about/eula</w:t>
              </w:r>
            </w:hyperlink>
          </w:p>
          <w:p>
            <w:pPr>
              <w:pStyle w:val="CoverText"/>
              <w:widowControl w:val="0"/>
            </w:pPr>
          </w:p>
          <w:p>
            <w:pPr>
              <w:pStyle w:val="Cover3"/>
              <w:jc w:val="both"/>
            </w:pPr>
            <w:r>
              <w:rPr>
                <w:rFonts w:hint="eastAsia"/>
                <w:b/>
              </w:rPr>
              <w:t>Lifecycle of Product Documentation</w:t>
            </w:r>
          </w:p>
          <w:p>
            <w:pPr>
              <w:pStyle w:val="CoverText"/>
              <w:widowControl w:val="0"/>
              <w:ind w:left="0"/>
              <w:jc w:val="both"/>
            </w:pPr>
            <w:r>
              <w:t xml:space="preserve">Huawei after-sales user documentation is subject to the </w:t>
            </w:r>
            <w:r>
              <w:rPr>
                <w:i/>
              </w:rPr>
              <w:t xml:space="preserve">Product Documentation Lifecycle Policy. </w:t>
            </w:r>
            <w:r>
              <w:t>For details about this policy, visit the following web page:</w:t>
            </w:r>
          </w:p>
          <w:p>
            <w:pPr>
              <w:pStyle w:val="CoverText"/>
              <w:widowControl w:val="0"/>
            </w:pPr>
            <w:hyperlink r:id="rId20" w:history="1">
              <w:r>
                <w:rPr>
                  <w:rStyle w:val="Hyperlink"/>
                  <w:rFonts w:hint="eastAsia"/>
                </w:rPr>
                <w:t>https://support.huawei.com/enterprise/en/bulletins-website/ENEWS200001776</w:t>
              </w:r>
              <w:r>
                <w:rPr>
                  <w:rStyle w:val="Hyperlink"/>
                </w:rPr>
                <w:t>1</w:t>
              </w:r>
            </w:hyperlink>
          </w:p>
        </w:tc>
      </w:tr>
    </w:tbl>
    <w:p>
      <w:pPr>
        <w:sectPr>
          <w:headerReference w:type="even" r:id="rId21"/>
          <w:headerReference w:type="default" r:id="rId22"/>
          <w:footerReference w:type="even" r:id="rId23"/>
          <w:footerReference w:type="default" r:id="rId24"/>
          <w:type w:val="nextPage"/>
          <w:pgSz w:w="11907" w:h="16840" w:code="9"/>
          <w:pgMar w:top="1701" w:right="1134" w:bottom="1701" w:left="1134" w:header="567" w:footer="567" w:gutter="0"/>
          <w:pgNumType w:fmt="lowerRoman" w:start="1"/>
          <w:cols w:space="425"/>
          <w:docGrid w:linePitch="312"/>
        </w:sectPr>
      </w:pPr>
    </w:p>
    <w:p>
      <w:pPr>
        <w:pStyle w:val="Contents"/>
      </w:pPr>
      <w:r>
        <w:t>Contents</w:t>
      </w:r>
    </w:p>
    <w:p>
      <w:pPr>
        <w:pStyle w:val="TOC1"/>
        <w:tabs>
          <w:tab w:val="right" w:leader="dot" w:pos="9629"/>
        </w:tabs>
        <w:rPr>
          <w:rFonts w:ascii="Calibri" w:hAnsi="Calibri"/>
          <w:noProof/>
          <w:sz w:val="22"/>
        </w:rPr>
      </w:pPr>
      <w:r>
        <w:fldChar w:fldCharType="begin"/>
      </w:r>
      <w:r>
        <w:instrText xml:space="preserve"> TOC \h \z \t "标题 1,1,标题 2,2,标题 3,3, 标题 4,4, 标题 5,5, 标题 7,1, 标题 8,2, 标题 9,3, Heading1 No Number,1,Appendix heading 1,1,Appendix heading 2,2,Appendix heading 3,3,Appendix heading 4,4,Appendix heading 5,5, Heading 1,1,Heading 2,2,Heading 3,3, Heading 4,4, Heading 5,5, Heading 7,1,Heading 8,2,Heading 9,3" </w:instrText>
      </w:r>
      <w:r>
        <w:fldChar w:fldCharType="separate"/>
      </w:r>
      <w:hyperlink w:anchor="_Toc256000000" w:history="1">
        <w:r>
          <w:rPr>
            <w:rStyle w:val="Hyperlink"/>
          </w:rPr>
          <w:t>1</w:t>
        </w:r>
        <w:r>
          <w:rPr>
            <w:rStyle w:val="Hyperlink"/>
          </w:rPr>
          <w:t xml:space="preserve"> </w:t>
        </w:r>
        <w:r>
          <w:rPr>
            <w:rStyle w:val="Hyperlink"/>
          </w:rPr>
          <w:t>Change History</w:t>
        </w:r>
        <w:r>
          <w:tab/>
        </w:r>
        <w:r>
          <w:fldChar w:fldCharType="begin"/>
        </w:r>
        <w:r>
          <w:instrText xml:space="preserve"> PAGEREF _Toc256000000 \h </w:instrText>
        </w:r>
        <w:r>
          <w:fldChar w:fldCharType="separate"/>
        </w:r>
        <w:r>
          <w:t>1</w:t>
        </w:r>
        <w:r>
          <w:fldChar w:fldCharType="end"/>
        </w:r>
      </w:hyperlink>
    </w:p>
    <w:p>
      <w:pPr>
        <w:pStyle w:val="TOC1"/>
        <w:tabs>
          <w:tab w:val="right" w:leader="dot" w:pos="9629"/>
        </w:tabs>
        <w:rPr>
          <w:rFonts w:ascii="Calibri" w:hAnsi="Calibri"/>
          <w:noProof/>
          <w:sz w:val="22"/>
        </w:rPr>
      </w:pPr>
      <w:hyperlink w:anchor="_Toc256000001" w:history="1">
        <w:r>
          <w:rPr>
            <w:rStyle w:val="Hyperlink"/>
          </w:rPr>
          <w:t>2</w:t>
        </w:r>
        <w:r>
          <w:rPr>
            <w:rStyle w:val="Hyperlink"/>
          </w:rPr>
          <w:t xml:space="preserve"> </w:t>
        </w:r>
        <w:r>
          <w:rPr>
            <w:rStyle w:val="Hyperlink"/>
          </w:rPr>
          <w:t>Patch Overview</w:t>
        </w:r>
        <w:r>
          <w:tab/>
        </w:r>
        <w:r>
          <w:fldChar w:fldCharType="begin"/>
        </w:r>
        <w:r>
          <w:instrText xml:space="preserve"> PAGEREF _Toc256000001 \h </w:instrText>
        </w:r>
        <w:r>
          <w:fldChar w:fldCharType="separate"/>
        </w:r>
        <w:r>
          <w:t>2</w:t>
        </w:r>
        <w:r>
          <w:fldChar w:fldCharType="end"/>
        </w:r>
      </w:hyperlink>
    </w:p>
    <w:p>
      <w:pPr>
        <w:pStyle w:val="TOC2"/>
        <w:tabs>
          <w:tab w:val="right" w:leader="dot" w:pos="9629"/>
        </w:tabs>
        <w:rPr>
          <w:rFonts w:ascii="Calibri" w:hAnsi="Calibri"/>
          <w:noProof/>
          <w:sz w:val="22"/>
        </w:rPr>
      </w:pPr>
      <w:hyperlink w:anchor="_Toc256000002" w:history="1">
        <w:r>
          <w:rPr>
            <w:rStyle w:val="Hyperlink"/>
            <w:snapToGrid w:val="0"/>
          </w:rPr>
          <w:t>2.1</w:t>
        </w:r>
        <w:r>
          <w:rPr>
            <w:rStyle w:val="Hyperlink"/>
            <w:snapToGrid w:val="0"/>
          </w:rPr>
          <w:t xml:space="preserve"> </w:t>
        </w:r>
        <w:r>
          <w:rPr>
            <w:rStyle w:val="Hyperlink"/>
          </w:rPr>
          <w:t>Basic Information</w:t>
        </w:r>
        <w:r>
          <w:tab/>
        </w:r>
        <w:r>
          <w:fldChar w:fldCharType="begin"/>
        </w:r>
        <w:r>
          <w:instrText xml:space="preserve"> PAGEREF _Toc256000002 \h </w:instrText>
        </w:r>
        <w:r>
          <w:fldChar w:fldCharType="separate"/>
        </w:r>
        <w:r>
          <w:t>2</w:t>
        </w:r>
        <w:r>
          <w:fldChar w:fldCharType="end"/>
        </w:r>
      </w:hyperlink>
    </w:p>
    <w:p>
      <w:pPr>
        <w:pStyle w:val="TOC2"/>
        <w:tabs>
          <w:tab w:val="right" w:leader="dot" w:pos="9629"/>
        </w:tabs>
        <w:rPr>
          <w:rFonts w:ascii="Calibri" w:hAnsi="Calibri"/>
          <w:noProof/>
          <w:sz w:val="22"/>
        </w:rPr>
      </w:pPr>
      <w:hyperlink w:anchor="_Toc256000003" w:history="1">
        <w:r>
          <w:rPr>
            <w:rStyle w:val="Hyperlink"/>
            <w:snapToGrid w:val="0"/>
          </w:rPr>
          <w:t>2.2</w:t>
        </w:r>
        <w:r>
          <w:rPr>
            <w:rStyle w:val="Hyperlink"/>
            <w:snapToGrid w:val="0"/>
          </w:rPr>
          <w:t xml:space="preserve"> </w:t>
        </w:r>
        <w:r>
          <w:rPr>
            <w:rStyle w:val="Hyperlink"/>
          </w:rPr>
          <w:t>Impact of Patch Installation</w:t>
        </w:r>
        <w:r>
          <w:tab/>
        </w:r>
        <w:r>
          <w:fldChar w:fldCharType="begin"/>
        </w:r>
        <w:r>
          <w:instrText xml:space="preserve"> PAGEREF _Toc256000003 \h </w:instrText>
        </w:r>
        <w:r>
          <w:fldChar w:fldCharType="separate"/>
        </w:r>
        <w:r>
          <w:t>2</w:t>
        </w:r>
        <w:r>
          <w:fldChar w:fldCharType="end"/>
        </w:r>
      </w:hyperlink>
    </w:p>
    <w:p>
      <w:pPr>
        <w:pStyle w:val="TOC2"/>
        <w:tabs>
          <w:tab w:val="right" w:leader="dot" w:pos="9629"/>
        </w:tabs>
        <w:rPr>
          <w:rFonts w:ascii="Calibri" w:hAnsi="Calibri"/>
          <w:noProof/>
          <w:sz w:val="22"/>
        </w:rPr>
      </w:pPr>
      <w:hyperlink w:anchor="_Toc256000004" w:history="1">
        <w:r>
          <w:rPr>
            <w:rStyle w:val="Hyperlink"/>
            <w:snapToGrid w:val="0"/>
          </w:rPr>
          <w:t>2.3</w:t>
        </w:r>
        <w:r>
          <w:rPr>
            <w:rStyle w:val="Hyperlink"/>
            <w:snapToGrid w:val="0"/>
          </w:rPr>
          <w:t xml:space="preserve"> </w:t>
        </w:r>
        <w:r>
          <w:rPr>
            <w:rStyle w:val="Hyperlink"/>
          </w:rPr>
          <w:t>Version Compatibility Requirements</w:t>
        </w:r>
        <w:r>
          <w:tab/>
        </w:r>
        <w:r>
          <w:fldChar w:fldCharType="begin"/>
        </w:r>
        <w:r>
          <w:instrText xml:space="preserve"> PAGEREF _Toc256000004 \h </w:instrText>
        </w:r>
        <w:r>
          <w:fldChar w:fldCharType="separate"/>
        </w:r>
        <w:r>
          <w:t>3</w:t>
        </w:r>
        <w:r>
          <w:fldChar w:fldCharType="end"/>
        </w:r>
      </w:hyperlink>
    </w:p>
    <w:p>
      <w:pPr>
        <w:pStyle w:val="TOC2"/>
        <w:tabs>
          <w:tab w:val="right" w:leader="dot" w:pos="9629"/>
        </w:tabs>
        <w:rPr>
          <w:rFonts w:ascii="Calibri" w:hAnsi="Calibri"/>
          <w:noProof/>
          <w:sz w:val="22"/>
        </w:rPr>
      </w:pPr>
      <w:hyperlink w:anchor="_Toc256000005" w:history="1">
        <w:r>
          <w:rPr>
            <w:rStyle w:val="Hyperlink"/>
            <w:snapToGrid w:val="0"/>
          </w:rPr>
          <w:t>2.4</w:t>
        </w:r>
        <w:r>
          <w:rPr>
            <w:rStyle w:val="Hyperlink"/>
            <w:snapToGrid w:val="0"/>
          </w:rPr>
          <w:t xml:space="preserve"> </w:t>
        </w:r>
        <w:r>
          <w:rPr>
            <w:rStyle w:val="Hyperlink"/>
          </w:rPr>
          <w:t>Virus Scan Result</w:t>
        </w:r>
        <w:r>
          <w:tab/>
        </w:r>
        <w:r>
          <w:fldChar w:fldCharType="begin"/>
        </w:r>
        <w:r>
          <w:instrText xml:space="preserve"> PAGEREF _Toc256000005 \h </w:instrText>
        </w:r>
        <w:r>
          <w:fldChar w:fldCharType="separate"/>
        </w:r>
        <w:r>
          <w:t>3</w:t>
        </w:r>
        <w:r>
          <w:fldChar w:fldCharType="end"/>
        </w:r>
      </w:hyperlink>
    </w:p>
    <w:p>
      <w:pPr>
        <w:pStyle w:val="TOC1"/>
        <w:tabs>
          <w:tab w:val="right" w:leader="dot" w:pos="9629"/>
        </w:tabs>
        <w:rPr>
          <w:rFonts w:ascii="Calibri" w:hAnsi="Calibri"/>
          <w:noProof/>
          <w:sz w:val="22"/>
        </w:rPr>
      </w:pPr>
      <w:hyperlink w:anchor="_Toc256000006" w:history="1">
        <w:r>
          <w:rPr>
            <w:rStyle w:val="Hyperlink"/>
          </w:rPr>
          <w:t>3</w:t>
        </w:r>
        <w:r>
          <w:rPr>
            <w:rStyle w:val="Hyperlink"/>
          </w:rPr>
          <w:t xml:space="preserve"> </w:t>
        </w:r>
        <w:r>
          <w:rPr>
            <w:rStyle w:val="Hyperlink"/>
          </w:rPr>
          <w:t>Resolved Issues</w:t>
        </w:r>
        <w:r>
          <w:tab/>
        </w:r>
        <w:r>
          <w:fldChar w:fldCharType="begin"/>
        </w:r>
        <w:r>
          <w:instrText xml:space="preserve"> PAGEREF _Toc256000006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07" w:history="1">
        <w:r>
          <w:rPr>
            <w:rStyle w:val="Hyperlink"/>
            <w:snapToGrid w:val="0"/>
          </w:rPr>
          <w:t>3.1</w:t>
        </w:r>
        <w:r>
          <w:rPr>
            <w:rStyle w:val="Hyperlink"/>
            <w:snapToGrid w:val="0"/>
          </w:rPr>
          <w:t xml:space="preserve"> </w:t>
        </w:r>
        <w:r>
          <w:rPr>
            <w:rStyle w:val="Hyperlink"/>
          </w:rPr>
          <w:t>SPH20 Resolved Issues</w:t>
        </w:r>
        <w:r>
          <w:tab/>
        </w:r>
        <w:r>
          <w:fldChar w:fldCharType="begin"/>
        </w:r>
        <w:r>
          <w:instrText xml:space="preserve"> PAGEREF _Toc256000007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08" w:history="1">
        <w:r>
          <w:rPr>
            <w:rStyle w:val="Hyperlink"/>
            <w:snapToGrid w:val="0"/>
          </w:rPr>
          <w:t>3.2</w:t>
        </w:r>
        <w:r>
          <w:rPr>
            <w:rStyle w:val="Hyperlink"/>
            <w:snapToGrid w:val="0"/>
          </w:rPr>
          <w:t xml:space="preserve"> </w:t>
        </w:r>
        <w:r>
          <w:rPr>
            <w:rStyle w:val="Hyperlink"/>
          </w:rPr>
          <w:t>SPH16 Resolved Issues</w:t>
        </w:r>
        <w:r>
          <w:tab/>
        </w:r>
        <w:r>
          <w:fldChar w:fldCharType="begin"/>
        </w:r>
        <w:r>
          <w:instrText xml:space="preserve"> PAGEREF _Toc256000008 \h </w:instrText>
        </w:r>
        <w:r>
          <w:fldChar w:fldCharType="separate"/>
        </w:r>
        <w:r>
          <w:t>9</w:t>
        </w:r>
        <w:r>
          <w:fldChar w:fldCharType="end"/>
        </w:r>
      </w:hyperlink>
    </w:p>
    <w:p>
      <w:pPr>
        <w:pStyle w:val="TOC2"/>
        <w:tabs>
          <w:tab w:val="right" w:leader="dot" w:pos="9629"/>
        </w:tabs>
        <w:rPr>
          <w:rFonts w:ascii="Calibri" w:hAnsi="Calibri"/>
          <w:noProof/>
          <w:sz w:val="22"/>
        </w:rPr>
      </w:pPr>
      <w:hyperlink w:anchor="_Toc256000009" w:history="1">
        <w:r>
          <w:rPr>
            <w:rStyle w:val="Hyperlink"/>
            <w:snapToGrid w:val="0"/>
          </w:rPr>
          <w:t>3.3</w:t>
        </w:r>
        <w:r>
          <w:rPr>
            <w:rStyle w:val="Hyperlink"/>
            <w:snapToGrid w:val="0"/>
          </w:rPr>
          <w:t xml:space="preserve"> </w:t>
        </w:r>
        <w:r>
          <w:rPr>
            <w:rStyle w:val="Hyperlink"/>
          </w:rPr>
          <w:t>SPH5 Resolved Issues</w:t>
        </w:r>
        <w:r>
          <w:tab/>
        </w:r>
        <w:r>
          <w:fldChar w:fldCharType="begin"/>
        </w:r>
        <w:r>
          <w:instrText xml:space="preserve"> PAGEREF _Toc256000009 \h </w:instrText>
        </w:r>
        <w:r>
          <w:fldChar w:fldCharType="separate"/>
        </w:r>
        <w:r>
          <w:t>20</w:t>
        </w:r>
        <w:r>
          <w:fldChar w:fldCharType="end"/>
        </w:r>
      </w:hyperlink>
    </w:p>
    <w:p>
      <w:pPr>
        <w:pStyle w:val="TOC2"/>
        <w:tabs>
          <w:tab w:val="right" w:leader="dot" w:pos="9629"/>
        </w:tabs>
        <w:rPr>
          <w:rFonts w:ascii="Calibri" w:hAnsi="Calibri"/>
          <w:noProof/>
          <w:sz w:val="22"/>
        </w:rPr>
      </w:pPr>
      <w:hyperlink w:anchor="_Toc256000010" w:history="1">
        <w:r>
          <w:rPr>
            <w:rStyle w:val="Hyperlink"/>
            <w:snapToGrid w:val="0"/>
          </w:rPr>
          <w:t>3.4</w:t>
        </w:r>
        <w:r>
          <w:rPr>
            <w:rStyle w:val="Hyperlink"/>
            <w:snapToGrid w:val="0"/>
          </w:rPr>
          <w:t xml:space="preserve"> </w:t>
        </w:r>
        <w:r>
          <w:rPr>
            <w:rStyle w:val="Hyperlink"/>
          </w:rPr>
          <w:t>SPH2 Resolved Issues</w:t>
        </w:r>
        <w:r>
          <w:tab/>
        </w:r>
        <w:r>
          <w:fldChar w:fldCharType="begin"/>
        </w:r>
        <w:r>
          <w:instrText xml:space="preserve"> PAGEREF _Toc256000010 \h </w:instrText>
        </w:r>
        <w:r>
          <w:fldChar w:fldCharType="separate"/>
        </w:r>
        <w:r>
          <w:t>21</w:t>
        </w:r>
        <w:r>
          <w:fldChar w:fldCharType="end"/>
        </w:r>
      </w:hyperlink>
    </w:p>
    <w:p>
      <w:pPr>
        <w:pStyle w:val="TOC1"/>
        <w:tabs>
          <w:tab w:val="right" w:leader="dot" w:pos="9629"/>
        </w:tabs>
        <w:rPr>
          <w:rFonts w:ascii="Calibri" w:hAnsi="Calibri"/>
          <w:noProof/>
          <w:sz w:val="22"/>
        </w:rPr>
      </w:pPr>
      <w:hyperlink w:anchor="_Toc256000011" w:history="1">
        <w:r>
          <w:rPr>
            <w:rStyle w:val="Hyperlink"/>
          </w:rPr>
          <w:t>4</w:t>
        </w:r>
        <w:r>
          <w:rPr>
            <w:rStyle w:val="Hyperlink"/>
          </w:rPr>
          <w:t xml:space="preserve"> </w:t>
        </w:r>
        <w:r>
          <w:rPr>
            <w:rStyle w:val="Hyperlink"/>
          </w:rPr>
          <w:t>Third-Party Software Vulnerability Fixes</w:t>
        </w:r>
        <w:r>
          <w:tab/>
        </w:r>
        <w:r>
          <w:fldChar w:fldCharType="begin"/>
        </w:r>
        <w:r>
          <w:instrText xml:space="preserve"> PAGEREF _Toc256000011 \h </w:instrText>
        </w:r>
        <w:r>
          <w:fldChar w:fldCharType="separate"/>
        </w:r>
        <w:r>
          <w:t>24</w:t>
        </w:r>
        <w:r>
          <w:fldChar w:fldCharType="end"/>
        </w:r>
      </w:hyperlink>
    </w:p>
    <w:p>
      <w:pPr>
        <w:pStyle w:val="TOC1"/>
        <w:tabs>
          <w:tab w:val="right" w:leader="dot" w:pos="9629"/>
        </w:tabs>
        <w:sectPr>
          <w:headerReference w:type="even" r:id="rId25"/>
          <w:headerReference w:type="default" r:id="rId26"/>
          <w:footerReference w:type="even" r:id="rId27"/>
          <w:footerReference w:type="default" r:id="rId28"/>
          <w:headerReference w:type="first" r:id="rId29"/>
          <w:type w:val="nextPage"/>
          <w:pgSz w:w="11907" w:h="16840" w:code="9"/>
          <w:pgMar w:top="1701" w:right="1134" w:bottom="1701" w:left="1134" w:header="567" w:footer="567" w:gutter="0"/>
          <w:pgNumType w:fmt="lowerRoman"/>
          <w:cols w:space="425"/>
          <w:docGrid w:linePitch="312"/>
        </w:sectPr>
      </w:pPr>
      <w:r>
        <w:fldChar w:fldCharType="end"/>
      </w:r>
    </w:p>
    <w:p>
      <w:pPr>
        <w:pStyle w:val="Heading1"/>
      </w:pPr>
      <w:bookmarkStart w:id="0" w:name="_EN-US_TOPIC_0000002260737902"/>
      <w:bookmarkEnd w:id="0"/>
      <w:bookmarkStart w:id="1" w:name="_EN-US_TOPIC_0000002260737902-chtext"/>
      <w:bookmarkStart w:id="2" w:name="_Toc256000000"/>
      <w:r>
        <w:t>Change History</w:t>
      </w:r>
      <w:bookmarkEnd w:id="2"/>
      <w:bookmarkEnd w:id="1"/>
    </w:p>
    <w:tbl>
      <w:tblPr>
        <w:tblStyle w:val="Table"/>
        <w:tblW w:w="7938" w:type="dxa"/>
        <w:tblInd w:w="1814" w:type="dxa"/>
        <w:tblLayout w:type="fixed"/>
        <w:tblLook w:val="01E0"/>
      </w:tblPr>
      <w:tblGrid>
        <w:gridCol w:w="1364"/>
        <w:gridCol w:w="2967"/>
        <w:gridCol w:w="3607"/>
      </w:tblGrid>
      <w:tr>
        <w:tblPrEx>
          <w:tblW w:w="7938" w:type="dxa"/>
          <w:tblInd w:w="1814" w:type="dxa"/>
          <w:tblLayout w:type="fixed"/>
          <w:tblLook w:val="01E0"/>
        </w:tblPrEx>
        <w:trPr>
          <w:cantSplit w:val="0"/>
          <w:tblHeader/>
        </w:trPr>
        <w:tc>
          <w:tcPr>
            <w:tcW w:w="859" w:type="pct"/>
            <w:tcBorders>
              <w:top w:val="single" w:sz="6" w:space="0" w:color="000000"/>
              <w:bottom w:val="single" w:sz="6" w:space="0" w:color="000000"/>
              <w:right w:val="single" w:sz="6" w:space="0" w:color="000000"/>
            </w:tcBorders>
            <w:shd w:val="clear" w:color="auto" w:fill="D9D9D9"/>
          </w:tcPr>
          <w:p>
            <w:pPr>
              <w:pStyle w:val="TableHeading"/>
            </w:pPr>
            <w:r>
              <w:t>Issue</w:t>
            </w:r>
          </w:p>
        </w:tc>
        <w:tc>
          <w:tcPr>
            <w:tcW w:w="1869" w:type="pct"/>
            <w:tcBorders>
              <w:top w:val="single" w:sz="6" w:space="0" w:color="000000"/>
              <w:bottom w:val="single" w:sz="6" w:space="0" w:color="000000"/>
              <w:right w:val="single" w:sz="6" w:space="0" w:color="000000"/>
            </w:tcBorders>
            <w:shd w:val="clear" w:color="auto" w:fill="D9D9D9"/>
          </w:tcPr>
          <w:p>
            <w:pPr>
              <w:pStyle w:val="TableHeading"/>
            </w:pPr>
            <w:r>
              <w:t>Date</w:t>
            </w:r>
          </w:p>
        </w:tc>
        <w:tc>
          <w:tcPr>
            <w:tcW w:w="2273"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859" w:type="pct"/>
            <w:tcBorders>
              <w:top w:val="single" w:sz="6" w:space="0" w:color="000000"/>
              <w:bottom w:val="single" w:sz="6" w:space="0" w:color="000000"/>
              <w:right w:val="single" w:sz="6" w:space="0" w:color="000000"/>
            </w:tcBorders>
          </w:tcPr>
          <w:p>
            <w:pPr>
              <w:pStyle w:val="TableText"/>
            </w:pPr>
            <w:r>
              <w:t>01</w:t>
            </w:r>
          </w:p>
        </w:tc>
        <w:tc>
          <w:tcPr>
            <w:tcW w:w="1869" w:type="pct"/>
            <w:tcBorders>
              <w:top w:val="single" w:sz="6" w:space="0" w:color="000000"/>
              <w:bottom w:val="single" w:sz="6" w:space="0" w:color="000000"/>
              <w:right w:val="single" w:sz="6" w:space="0" w:color="000000"/>
            </w:tcBorders>
          </w:tcPr>
          <w:p>
            <w:pPr>
              <w:pStyle w:val="TableText"/>
            </w:pPr>
            <w:r>
              <w:t>2025-04-29</w:t>
            </w:r>
          </w:p>
        </w:tc>
        <w:tc>
          <w:tcPr>
            <w:tcW w:w="2273" w:type="pct"/>
            <w:tcBorders>
              <w:top w:val="single" w:sz="6" w:space="0" w:color="000000"/>
              <w:bottom w:val="single" w:sz="6" w:space="0" w:color="000000"/>
            </w:tcBorders>
          </w:tcPr>
          <w:p>
            <w:pPr>
              <w:pStyle w:val="TableText"/>
            </w:pPr>
            <w:r>
              <w:t>This issue is the first official release.</w:t>
            </w:r>
          </w:p>
        </w:tc>
      </w:tr>
    </w:tbl>
    <w:p>
      <w:pPr>
        <w:sectPr>
          <w:headerReference w:type="even" r:id="rId30"/>
          <w:headerReference w:type="default" r:id="rId31"/>
          <w:footerReference w:type="even" r:id="rId32"/>
          <w:footerReference w:type="default" r:id="rId33"/>
          <w:type w:val="nextPage"/>
          <w:pgSz w:w="11907" w:h="16840" w:code="9"/>
          <w:pgMar w:top="1701" w:right="1134" w:bottom="1701" w:left="1134" w:header="567" w:footer="567" w:gutter="0"/>
          <w:pgNumType w:fmt="decimal" w:start="1"/>
          <w:cols w:space="425"/>
          <w:docGrid w:linePitch="312"/>
        </w:sectPr>
      </w:pPr>
    </w:p>
    <w:bookmarkStart w:id="3" w:name="_EN-US_TOPIC_0000002295154917"/>
    <w:bookmarkEnd w:id="3"/>
    <w:p>
      <w:pPr>
        <w:pStyle w:val="Heading1"/>
      </w:pPr>
      <w:bookmarkStart w:id="4" w:name="_EN-US_TOPIC_0000002295154917-chtext"/>
      <w:bookmarkStart w:id="5" w:name="_Toc256000001"/>
      <w:r>
        <w:t>Patch Overview</w:t>
      </w:r>
      <w:bookmarkEnd w:id="5"/>
      <w:bookmarkEnd w:id="4"/>
    </w:p>
    <w:p>
      <w:hyperlink w:anchor="_EN-US_TOPIC_0000002260634808" w:tooltip=" " w:history="1">
        <w:r>
          <w:rPr>
            <w:rStyle w:val="Hyperlink"/>
          </w:rPr>
          <w:t>2.1  Basic Information</w:t>
        </w:r>
      </w:hyperlink>
    </w:p>
    <w:p>
      <w:hyperlink w:anchor="_EN-US_TOPIC_0000002295267985" w:tooltip=" " w:history="1">
        <w:r>
          <w:rPr>
            <w:rStyle w:val="Hyperlink"/>
          </w:rPr>
          <w:t>2.2  Impact of Patch Installation</w:t>
        </w:r>
      </w:hyperlink>
    </w:p>
    <w:p>
      <w:hyperlink w:anchor="_EN-US_TOPIC_0000002295154925" w:tooltip=" " w:history="1">
        <w:r>
          <w:rPr>
            <w:rStyle w:val="Hyperlink"/>
          </w:rPr>
          <w:t>2.3  Version Compatibility Requirements</w:t>
        </w:r>
      </w:hyperlink>
    </w:p>
    <w:p>
      <w:hyperlink w:anchor="_EN-US_TOPIC_0000002295154921" w:tooltip=" " w:history="1">
        <w:r>
          <w:rPr>
            <w:rStyle w:val="Hyperlink"/>
          </w:rPr>
          <w:t>2.4  Virus Scan Result</w:t>
        </w:r>
      </w:hyperlink>
    </w:p>
    <w:bookmarkStart w:id="6" w:name="_EN-US_TOPIC_0000002260634808"/>
    <w:bookmarkEnd w:id="6"/>
    <w:p>
      <w:pPr>
        <w:pStyle w:val="Heading2"/>
        <w:numPr>
          <w:numId w:val="45"/>
        </w:numPr>
      </w:pPr>
      <w:bookmarkStart w:id="7" w:name="_EN-US_TOPIC_0000002260634808-chtext"/>
      <w:bookmarkStart w:id="8" w:name="_Toc256000002"/>
      <w:r>
        <w:t>Basic Information</w:t>
      </w:r>
      <w:bookmarkEnd w:id="8"/>
      <w:bookmarkEnd w:id="7"/>
    </w:p>
    <w:p>
      <w:pPr>
        <w:pStyle w:val="TableDescription"/>
      </w:pPr>
      <w:r>
        <w:t>Basic information about OceanStor 6.1.8.SPH20</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699"/>
        <w:gridCol w:w="523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700" w:type="pct"/>
            <w:tcBorders>
              <w:top w:val="single" w:sz="6" w:space="0" w:color="000000"/>
              <w:bottom w:val="single" w:sz="6" w:space="0" w:color="000000"/>
              <w:right w:val="single" w:sz="6" w:space="0" w:color="000000"/>
            </w:tcBorders>
          </w:tcPr>
          <w:p>
            <w:pPr>
              <w:pStyle w:val="TableText"/>
            </w:pPr>
            <w:r>
              <w:t>Patch Name</w:t>
            </w:r>
          </w:p>
        </w:tc>
        <w:tc>
          <w:tcPr>
            <w:tcW w:w="3300" w:type="pct"/>
            <w:tcBorders>
              <w:top w:val="single" w:sz="6" w:space="0" w:color="000000"/>
              <w:bottom w:val="single" w:sz="6" w:space="0" w:color="000000"/>
            </w:tcBorders>
          </w:tcPr>
          <w:p>
            <w:pPr>
              <w:pStyle w:val="TableText"/>
            </w:pPr>
            <w:r>
              <w:t>OceanStor 6.1.8.SPH20</w:t>
            </w:r>
          </w:p>
        </w:tc>
      </w:tr>
      <w:tr>
        <w:tblPrEx>
          <w:tblW w:w="7938" w:type="dxa"/>
          <w:tblInd w:w="1814" w:type="dxa"/>
          <w:tblLayout w:type="fixed"/>
          <w:tblLook w:val="01E0"/>
        </w:tblPrEx>
        <w:trPr>
          <w:cantSplit w:val="0"/>
        </w:trPr>
        <w:tc>
          <w:tcPr>
            <w:tcW w:w="1700" w:type="pct"/>
            <w:tcBorders>
              <w:top w:val="single" w:sz="6" w:space="0" w:color="000000"/>
              <w:bottom w:val="single" w:sz="6" w:space="0" w:color="000000"/>
              <w:right w:val="single" w:sz="6" w:space="0" w:color="000000"/>
            </w:tcBorders>
          </w:tcPr>
          <w:p>
            <w:pPr>
              <w:pStyle w:val="TableText"/>
            </w:pPr>
            <w:r>
              <w:t>Product Version</w:t>
            </w:r>
          </w:p>
        </w:tc>
        <w:tc>
          <w:tcPr>
            <w:tcW w:w="3300" w:type="pct"/>
            <w:tcBorders>
              <w:top w:val="single" w:sz="6" w:space="0" w:color="000000"/>
              <w:bottom w:val="single" w:sz="6" w:space="0" w:color="000000"/>
            </w:tcBorders>
          </w:tcPr>
          <w:p>
            <w:pPr>
              <w:pStyle w:val="TableText"/>
            </w:pPr>
            <w:r>
              <w:t>OceanStor 6.1.8</w:t>
            </w:r>
          </w:p>
        </w:tc>
      </w:tr>
      <w:tr>
        <w:tblPrEx>
          <w:tblW w:w="7938" w:type="dxa"/>
          <w:tblInd w:w="1814" w:type="dxa"/>
          <w:tblLayout w:type="fixed"/>
          <w:tblLook w:val="01E0"/>
        </w:tblPrEx>
        <w:trPr>
          <w:cantSplit w:val="0"/>
        </w:trPr>
        <w:tc>
          <w:tcPr>
            <w:tcW w:w="1700" w:type="pct"/>
            <w:tcBorders>
              <w:top w:val="single" w:sz="6" w:space="0" w:color="000000"/>
              <w:bottom w:val="single" w:sz="6" w:space="0" w:color="000000"/>
              <w:right w:val="single" w:sz="6" w:space="0" w:color="000000"/>
            </w:tcBorders>
          </w:tcPr>
          <w:p>
            <w:pPr>
              <w:pStyle w:val="TableText"/>
            </w:pPr>
            <w:r>
              <w:t>Release Date</w:t>
            </w:r>
          </w:p>
        </w:tc>
        <w:tc>
          <w:tcPr>
            <w:tcW w:w="3300" w:type="pct"/>
            <w:tcBorders>
              <w:top w:val="single" w:sz="6" w:space="0" w:color="000000"/>
              <w:bottom w:val="single" w:sz="6" w:space="0" w:color="000000"/>
            </w:tcBorders>
          </w:tcPr>
          <w:p>
            <w:pPr>
              <w:pStyle w:val="TableText"/>
            </w:pPr>
            <w:r>
              <w:t>2025-04-29</w:t>
            </w:r>
          </w:p>
        </w:tc>
      </w:tr>
      <w:tr>
        <w:tblPrEx>
          <w:tblW w:w="7938" w:type="dxa"/>
          <w:tblInd w:w="1814" w:type="dxa"/>
          <w:tblLayout w:type="fixed"/>
          <w:tblLook w:val="01E0"/>
        </w:tblPrEx>
        <w:trPr>
          <w:cantSplit w:val="0"/>
        </w:trPr>
        <w:tc>
          <w:tcPr>
            <w:tcW w:w="1700" w:type="pct"/>
            <w:tcBorders>
              <w:top w:val="single" w:sz="6" w:space="0" w:color="000000"/>
              <w:bottom w:val="single" w:sz="6" w:space="0" w:color="000000"/>
              <w:right w:val="single" w:sz="6" w:space="0" w:color="000000"/>
            </w:tcBorders>
          </w:tcPr>
          <w:p>
            <w:pPr>
              <w:pStyle w:val="TableText"/>
            </w:pPr>
            <w:r>
              <w:t>Compatibility with Other Patches</w:t>
            </w:r>
          </w:p>
        </w:tc>
        <w:tc>
          <w:tcPr>
            <w:tcW w:w="3300" w:type="pct"/>
            <w:tcBorders>
              <w:top w:val="single" w:sz="6" w:space="0" w:color="000000"/>
              <w:bottom w:val="single" w:sz="6" w:space="0" w:color="000000"/>
            </w:tcBorders>
          </w:tcPr>
          <w:p>
            <w:pPr>
              <w:pStyle w:val="TableText"/>
            </w:pPr>
            <w:r>
              <w:t>The patch is compatible with the following versions:</w:t>
            </w:r>
          </w:p>
          <w:p>
            <w:pPr>
              <w:pStyle w:val="TableText"/>
            </w:pPr>
            <w:r>
              <w:t>OceanStor 6.1.8.SPH16</w:t>
            </w:r>
          </w:p>
          <w:p>
            <w:pPr>
              <w:pStyle w:val="TableText"/>
            </w:pPr>
            <w:r>
              <w:t>OceanStor 6.1.8.SPH5</w:t>
            </w:r>
          </w:p>
          <w:p>
            <w:pPr>
              <w:pStyle w:val="TableText"/>
            </w:pPr>
            <w:r>
              <w:t>OceanStor 6.1.8.SPH2</w:t>
            </w:r>
          </w:p>
        </w:tc>
      </w:tr>
    </w:tbl>
    <w:p/>
    <w:bookmarkStart w:id="9" w:name="_EN-US_TOPIC_0000002295267985"/>
    <w:bookmarkEnd w:id="9"/>
    <w:p>
      <w:pPr>
        <w:pStyle w:val="Heading2"/>
      </w:pPr>
      <w:bookmarkStart w:id="10" w:name="_EN-US_TOPIC_0000002295267985-chtext"/>
      <w:bookmarkStart w:id="11" w:name="_Toc256000003"/>
      <w:r>
        <w:t>Impact of Patch Installation</w:t>
      </w:r>
      <w:bookmarkEnd w:id="11"/>
      <w:bookmarkEnd w:id="10"/>
    </w:p>
    <w:p>
      <w:pPr>
        <w:pStyle w:val="BlockLabel"/>
      </w:pPr>
      <w:r>
        <w:t>Impact on the System During Installation</w:t>
      </w:r>
    </w:p>
    <w:p>
      <w:pPr>
        <w:pStyle w:val="ItemList"/>
      </w:pPr>
      <w:r>
        <w:rPr>
          <w:b/>
        </w:rPr>
        <w:t>Impact on services</w:t>
      </w:r>
      <w:r>
        <w:rPr>
          <w:b/>
        </w:rPr>
        <w:t xml:space="preserve">: </w:t>
      </w:r>
      <w:r>
        <w:t>Configuration operations on the storage system are prohibited (including REST or CLI configuration commands delivered by OpenStack Cinder, SMI-S, and other plug-in interfaces). Other services or operations are not affected.</w:t>
      </w:r>
    </w:p>
    <w:p>
      <w:pPr>
        <w:pStyle w:val="ItemList"/>
      </w:pPr>
      <w:r>
        <w:rPr>
          <w:b/>
        </w:rPr>
        <w:t xml:space="preserve">Impact on network communication: </w:t>
      </w:r>
      <w:r>
        <w:t>None</w:t>
      </w:r>
    </w:p>
    <w:p>
      <w:pPr>
        <w:pStyle w:val="BlockLabel"/>
      </w:pPr>
      <w:r>
        <w:t>Impact on the System After Installation</w:t>
      </w:r>
    </w:p>
    <w:p>
      <w:r>
        <w:t>None</w:t>
      </w:r>
    </w:p>
    <w:bookmarkStart w:id="12" w:name="_EN-US_TOPIC_0000002295154925"/>
    <w:bookmarkEnd w:id="12"/>
    <w:p>
      <w:pPr>
        <w:pStyle w:val="Heading2"/>
      </w:pPr>
      <w:bookmarkStart w:id="13" w:name="_EN-US_TOPIC_0000002295154925-chtext"/>
      <w:bookmarkStart w:id="14" w:name="_Toc256000004"/>
      <w:r>
        <w:t>Version Compatibility Requirements</w:t>
      </w:r>
      <w:bookmarkEnd w:id="14"/>
      <w:bookmarkEnd w:id="13"/>
    </w:p>
    <w:p>
      <w:r>
        <w:t>The mapping relationships are consistent with those of OceanStor 6.1.8.</w:t>
      </w:r>
    </w:p>
    <w:bookmarkStart w:id="15" w:name="_EN-US_TOPIC_0000002295154921"/>
    <w:bookmarkEnd w:id="15"/>
    <w:p>
      <w:pPr>
        <w:pStyle w:val="Heading2"/>
      </w:pPr>
      <w:bookmarkStart w:id="16" w:name="_EN-US_TOPIC_0000002295154921-chtext"/>
      <w:bookmarkStart w:id="17" w:name="_Toc256000005"/>
      <w:r>
        <w:t>Virus Scan Result</w:t>
      </w:r>
      <w:bookmarkEnd w:id="17"/>
      <w:bookmarkEnd w:id="16"/>
    </w:p>
    <w:p>
      <w:r>
        <w:t>The software package of OceanStor 6.1.8.SPH20 storage system has been scanned by Kav, Avira, and OSCE antivirus software.</w:t>
      </w:r>
    </w:p>
    <w:p>
      <w:r>
        <w:t>Table Virus scan result lists the scan result.</w:t>
      </w:r>
    </w:p>
    <w:tbl>
      <w:tblPr>
        <w:tblStyle w:val="Table"/>
        <w:tblW w:w="7938" w:type="dxa"/>
        <w:tblInd w:w="1814" w:type="dxa"/>
        <w:tblLayout w:type="fixed"/>
        <w:tblLook w:val="01E0"/>
      </w:tblPr>
      <w:tblGrid>
        <w:gridCol w:w="3969"/>
        <w:gridCol w:w="3969"/>
      </w:tblGrid>
      <w:tr>
        <w:tblPrEx>
          <w:tblW w:w="7938" w:type="dxa"/>
          <w:tblInd w:w="1814" w:type="dxa"/>
          <w:tblLayout w:type="fixed"/>
          <w:tblLook w:val="01E0"/>
        </w:tblPrEx>
        <w:trPr>
          <w:cantSplit w:val="0"/>
          <w:tblHeader/>
        </w:trPr>
        <w:tc>
          <w:tcPr>
            <w:tcW w:w="2500" w:type="pct"/>
            <w:tcBorders>
              <w:top w:val="single" w:sz="6" w:space="0" w:color="000000"/>
              <w:bottom w:val="single" w:sz="6" w:space="0" w:color="000000"/>
              <w:right w:val="single" w:sz="6" w:space="0" w:color="000000"/>
            </w:tcBorders>
            <w:shd w:val="clear" w:color="auto" w:fill="D9D9D9"/>
          </w:tcPr>
          <w:p>
            <w:pPr>
              <w:pStyle w:val="TableHeading"/>
            </w:pPr>
            <w:r>
              <w:t>Antivirus Software Name</w:t>
            </w:r>
          </w:p>
        </w:tc>
        <w:tc>
          <w:tcPr>
            <w:tcW w:w="2500" w:type="pct"/>
            <w:tcBorders>
              <w:top w:val="single" w:sz="6" w:space="0" w:color="000000"/>
              <w:bottom w:val="single" w:sz="6" w:space="0" w:color="000000"/>
            </w:tcBorders>
            <w:shd w:val="clear" w:color="auto" w:fill="D9D9D9"/>
          </w:tcPr>
          <w:p>
            <w:pPr>
              <w:pStyle w:val="TableHeading"/>
            </w:pPr>
            <w:r>
              <w:t>Result</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Avira</w:t>
            </w:r>
          </w:p>
        </w:tc>
        <w:tc>
          <w:tcPr>
            <w:tcW w:w="2500" w:type="pct"/>
            <w:tcBorders>
              <w:top w:val="single" w:sz="6" w:space="0" w:color="000000"/>
              <w:bottom w:val="single" w:sz="6" w:space="0" w:color="000000"/>
            </w:tcBorders>
          </w:tcPr>
          <w:p>
            <w:pPr>
              <w:pStyle w:val="TableText"/>
            </w:pPr>
            <w:r>
              <w:t>OK</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Kav</w:t>
            </w:r>
          </w:p>
        </w:tc>
        <w:tc>
          <w:tcPr>
            <w:tcW w:w="2500" w:type="pct"/>
            <w:tcBorders>
              <w:top w:val="single" w:sz="6" w:space="0" w:color="000000"/>
              <w:bottom w:val="single" w:sz="6" w:space="0" w:color="000000"/>
            </w:tcBorders>
          </w:tcPr>
          <w:p>
            <w:pPr>
              <w:pStyle w:val="TableText"/>
            </w:pPr>
            <w:r>
              <w:t>OK</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OSCE</w:t>
            </w:r>
          </w:p>
        </w:tc>
        <w:tc>
          <w:tcPr>
            <w:tcW w:w="2500" w:type="pct"/>
            <w:tcBorders>
              <w:top w:val="single" w:sz="6" w:space="0" w:color="000000"/>
              <w:bottom w:val="single" w:sz="6" w:space="0" w:color="000000"/>
            </w:tcBorders>
          </w:tcPr>
          <w:p>
            <w:pPr>
              <w:pStyle w:val="TableText"/>
            </w:pPr>
            <w:r>
              <w:t>OK</w:t>
            </w:r>
          </w:p>
        </w:tc>
      </w:tr>
    </w:tbl>
    <w:p>
      <w:pPr>
        <w:sectPr>
          <w:headerReference w:type="even" r:id="rId34"/>
          <w:headerReference w:type="default" r:id="rId35"/>
          <w:footerReference w:type="even" r:id="rId36"/>
          <w:footerReference w:type="default" r:id="rId37"/>
          <w:type w:val="nextPage"/>
          <w:pgSz w:w="11907" w:h="16840" w:code="9"/>
          <w:pgMar w:top="1701" w:right="1134" w:bottom="1701" w:left="1134" w:header="567" w:footer="567" w:gutter="0"/>
          <w:pgNumType w:fmt="decimal"/>
          <w:cols w:space="425"/>
          <w:docGrid w:linePitch="312"/>
        </w:sectPr>
      </w:pPr>
    </w:p>
    <w:bookmarkStart w:id="18" w:name="_EN-US_TOPIC_0000002295267981"/>
    <w:bookmarkEnd w:id="18"/>
    <w:p>
      <w:pPr>
        <w:pStyle w:val="Heading1"/>
      </w:pPr>
      <w:bookmarkStart w:id="19" w:name="_EN-US_TOPIC_0000002295267981-chtext"/>
      <w:bookmarkStart w:id="20" w:name="_Toc256000006"/>
      <w:r>
        <w:t>Resolved Issues</w:t>
      </w:r>
      <w:bookmarkEnd w:id="20"/>
      <w:bookmarkEnd w:id="19"/>
    </w:p>
    <w:p>
      <w:hyperlink w:anchor="_EN-US_TOPIC_0000002260672242" w:tooltip=" " w:history="1">
        <w:r>
          <w:rPr>
            <w:rStyle w:val="Hyperlink"/>
          </w:rPr>
          <w:t>3.1  SPH20 Resolved Issues</w:t>
        </w:r>
      </w:hyperlink>
    </w:p>
    <w:p>
      <w:hyperlink w:anchor="_EN-US_TOPIC_0000002260737898" w:tooltip=" " w:history="1">
        <w:r>
          <w:rPr>
            <w:rStyle w:val="Hyperlink"/>
          </w:rPr>
          <w:t>3.2  SPH16 Resolved Issues</w:t>
        </w:r>
      </w:hyperlink>
    </w:p>
    <w:p>
      <w:hyperlink w:anchor="_EN-US_TOPIC_0000002260737906" w:tooltip=" " w:history="1">
        <w:r>
          <w:rPr>
            <w:rStyle w:val="Hyperlink"/>
          </w:rPr>
          <w:t>3.3  SPH5 Resolved Issues</w:t>
        </w:r>
      </w:hyperlink>
    </w:p>
    <w:p>
      <w:hyperlink w:anchor="_EN-US_TOPIC_0000002260634812" w:tooltip=" " w:history="1">
        <w:r>
          <w:rPr>
            <w:rStyle w:val="Hyperlink"/>
          </w:rPr>
          <w:t>3.4  SPH2 Resolved Issues</w:t>
        </w:r>
      </w:hyperlink>
    </w:p>
    <w:bookmarkStart w:id="21" w:name="_EN-US_TOPIC_0000002260672242"/>
    <w:bookmarkEnd w:id="21"/>
    <w:p>
      <w:pPr>
        <w:pStyle w:val="Heading2"/>
        <w:numPr>
          <w:numId w:val="50"/>
        </w:numPr>
      </w:pPr>
      <w:bookmarkStart w:id="22" w:name="_EN-US_TOPIC_0000002260672242-chtext"/>
      <w:bookmarkStart w:id="23" w:name="_Toc256000007"/>
      <w:r>
        <w:t>SPH20 Resolved Issues</w:t>
      </w:r>
      <w:bookmarkEnd w:id="23"/>
      <w:bookmarkEnd w:id="22"/>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DTS2025031516427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An exception occurs on the 1822V120 ETH interface module, and the system sends a port disconnection alarm.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host sends special abnormal packets (not VXLAN packets) using a well-known VXLAN port number.</w:t>
            </w:r>
          </w:p>
          <w:p>
            <w:pPr>
              <w:pStyle w:val="TableText"/>
            </w:pPr>
            <w:r>
              <w:t>2. IPv6 background traffic or other background traffic with a long packet length is continuously sent.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An exception occurs on the interface module.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ETH</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NIC microcode processes abnormal UDP packets, the packet header length is not correctly initialized. As a result, the PE editing command is incorrectly assembled, causing hardware interruption.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Parse abnormal packets again and correctly initialize the packet header length.</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DTS2025032405763</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Publicly released products (NCE, MAE, and eSight) cannot connect to the backup server.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storage SFTP service to be connected uses the open-source software ProFTPD.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Service configuration fails and the client cannot connect to the backup server.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SCSI</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Critical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SFTP service of the X series storage products uses the open-source software ProFTPD, which is incompatible with Mina-SSH used by the datacom and cloud clients.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Integrate the open-source software OpenSSH into the container SFTP service.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DTS2025031241589</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array process resets repeatedly, causing a controller to reset.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host communicates with the storage system using the NVMe protocol.</w:t>
            </w:r>
          </w:p>
          <w:p>
            <w:pPr>
              <w:pStyle w:val="TableText"/>
            </w:pPr>
            <w:r>
              <w:t>2. The host delivers an NoF CAW command, and the start position of the CAW command is the last sector of the previous 8 KB data.</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process resets for multiple times. If the two controllers reset, 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SCSI</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Critical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host and the storage system communicate with each other using the NVMe protocol. When the host delivers the CAW command and the start address of the CAW command is the last sector of 8 KB data, out-of-bounds memory access occurs.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Change the LBA of delivered CAW commands to prevent the commands from being sent to the position where this problem occurs.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DTS2025032428852</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SIG11 fault occurs on a controller for multiple times, and the process resets.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When a file is opened on the client and the share is concurrently unmounted, there is a possibility that the controller process resets.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 process is reset.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SMB</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unmounting operation releases the file system memory resources. As a result, out-of-bounds memory access occurs when the file is opened, causing the controller process to reset.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logic for opening files and unmounting file systems.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DTS2025032405945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HyperMetro service is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Windows hosts and the OS native multipathing software are used.</w:t>
            </w:r>
          </w:p>
          <w:p>
            <w:pPr>
              <w:pStyle w:val="TableText"/>
            </w:pPr>
            <w:r>
              <w:t>2. In the SAN HyperMetro scenario, a HyperMetro relationship is established between A and B and then suspended with B taking over services. Then, the HyperMetro relationship between A and B is deleted and another HyperMetro relationship is created between B and C. (A, B, and C are three different storage systems.)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HyperMetro service is faulty or suspended, and 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HyperMetro</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During cascading HyperMetro relationship creation, the device WWN and LUN array WWN of the primary storage system are unconditionally synchronized to the secondary storage system. There is a situation that the device WWNs and LUN array WWNs of two storage systems in a HyperMetro pair are both the synchronized ones, differing from their original ones. In this case, the target considers that host services do not have a valid access path to the HyperMetro pair, leading to the HyperMetro service interruption.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logic for synchronizing device WWNs and LUN array WWNs during cascading HyperMetro relationship creation.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DTS2025032610135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synchronization progress of a SAN asynchronous remote replication is stuck at 99%.</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A large number of SAN asynchronous remote replication pairs are configured.</w:t>
            </w:r>
          </w:p>
          <w:p>
            <w:pPr>
              <w:pStyle w:val="TableText"/>
            </w:pPr>
            <w:r>
              <w:t>2. More than 32 remote replication pairs simultaneously initiate data synchronization.</w:t>
            </w:r>
          </w:p>
          <w:p>
            <w:pPr>
              <w:pStyle w:val="TableText"/>
            </w:pPr>
            <w:r>
              <w:t>3. No differential data on the source LUN needs to be synchronized.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User experience is affected. The customer may mistakenly think that the synchronization progress of remote replication is stuck at 99%.</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Replication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source LUN has no differential data to be synchronized, the remote replication progress is incorrectly calculated.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method of calculating the remote replication synchronization progress.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DTS2025040707104</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NDMP log printing is too frequent.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An NDMP backup job is executed.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Fault locating is affected.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NDMP</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Warning</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 line of logs is repeatedly printed, and those logs are invalid.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Delete the code for the repeatedly printed logs.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DTS2025040920544</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controller reset occurs.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soft link created by an NFS is accessed through a CIFS share. The parent directory of the source file to which the soft link points is also a soft link. The number of link nesting layers exceeds 20.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 controller reset occurs and 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SMB</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number of soft link nesting layers exceeds the upper limit. As a result, the recursion call stack is too deep, the service process is faulty repeatedly, and the controller is reset.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soft link nesting processing.</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DTS2025032209388</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system sends notification emails every day. The email sending time of each day is about one minute later than that of the previous day.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There is a delay between the management network of the storage system and the mail server.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recipient cannot receive the email within the specified period.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OMM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routine period of the system notification emails includes the time for sending emails. As a result, routine emails are sent later than the previous day.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mechanism for sending system notification emails.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DTS2025040319772</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In the scenario where the storage system is interconnected with Huawei Cloud Stack SFS, service suspension may occur after VM live migration.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VM live migration is performed.</w:t>
            </w:r>
          </w:p>
          <w:p>
            <w:pPr>
              <w:pStyle w:val="TableText"/>
            </w:pPr>
            <w:r>
              <w:t>2. The CloudVxLAN feature is configured.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Services are suspended.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CloudVxlan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After a VM is live migrated, the migration flag delivered by the cloud cannot be identified by the storage system. As a result, the hardware offload flow table cannot be automatically updated.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Enable NICs to identify the VM migration flag.</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24" w:name="_EN-US_TOPIC_0000002260737898"/>
    <w:bookmarkEnd w:id="24"/>
    <w:p>
      <w:pPr>
        <w:pStyle w:val="Heading2"/>
      </w:pPr>
      <w:bookmarkStart w:id="25" w:name="_EN-US_TOPIC_0000002260737898-chtext"/>
      <w:bookmarkStart w:id="26" w:name="_Toc256000008"/>
      <w:r>
        <w:t>SPH16 Resolved Issues</w:t>
      </w:r>
      <w:bookmarkEnd w:id="26"/>
      <w:bookmarkEnd w:id="25"/>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DTS2024121919883</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Bit errors occur when some 32 Gbit/s optical modules are used in 1822v120 Fibre Channel interface modules to connect to 8 Gbit/s or 16 Gbit/s devices.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There is a low probability that this problem occurs when the local device uses 32 Gbit/s optical modules and the peer device uses 8 Gbit/s or 16 Gbit/s optical modules.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optical modules generate bit errors.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hardware initialization of some 32 Gbit/s optical modules is abnormal, and there is a possibility that bit errors occur.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initialization process of some optical modules.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DTS2024112803220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Memory leak occurs in anonymous_56 of the nas_protocol module in a long-term stable environment.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Scenario 1: Executing a VAAI clone task on an ESX host with a NFS share mounted</w:t>
            </w:r>
          </w:p>
          <w:p>
            <w:pPr>
              <w:pStyle w:val="TableText"/>
            </w:pPr>
            <w:r>
              <w:t>Scenario 2: Running the quota -u command on a Linux host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umm memory leak occurs.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memory allocated during VAAI command word decoding is not released. Or, the memory allocated during rquota command word decoding is not released.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Release the memory after decoding.</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DTS2025010219884</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an antivirus server starts a scanning task, there is a possibility that an alarm indicating that the antivirus server is overloaded is generated on the storage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antivirus service is enabled and a scanning task is performed.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alarm triggering mechanism does not meet the expectation.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Antivirus service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mechanism for triggering the overload alarm is inappropriate.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Disable the reporting of antivirus server overload alarms.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DTS2025010327591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storage system reports "The Controller Is Being Repaired" and "Process Failure" alarms.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An NFS alias share is created but the NFS share access permission is not configured. A client tries to mount the NFS alias share using NFSv4.</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rpc.mountd process of the controller resets.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storage system does not check the permission for accessing the NFS alias share. As a result, an internal access exception occurs, triggering the process to reset.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Correct the internal processing logic to resolve the access exception problem.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DTS2024120519185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synchronization is performed for NAS remote replication, the NFS share icon is missing.</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In a remote replication scenario, dtrees and NFS shares are synchronized when the primary and secondary dtree IDs are inconsistent.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When dtrees are viewed on DeviceManager, the NFS share icon is not displayed.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Querying dtree IDs using the NFS share alias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internal query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DTS2024121436016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storage service network is congested.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IP addresses used by the host to connect to the storage system are deleted.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 large number of ARP packets are sent (one more ARP packet is sent every second each time an IP address is deleted), which may cause network congestion.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DTOE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the case of disconnection, DTOE triggers ARP probe by mistake. As a result, ARP packets are continuously sent.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logic of triggering ARP probe by DTOE.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DTS2024123017200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During the patch installation, the 1822V120 back-end interface module fails to be upgraded and the patch fails to be installed.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There is an extremely low probability that this problem occurs during a fast upgrade or patch installation.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upgrade or patch installation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1822V120 back-end interface module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patch installation process of the 1822V120 interface module is abnormal due to an internal time sequence error. As a result, the upgrade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1822V120 interface module upgrade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DTS2024121724114</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iSCSI over DTOE is disconnected when the MTU of the 1823 NIC is set to 9000.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1823 TOE interface card is used and its MTU is set to a value greater than 7000 (1500 by default and 9000 at most).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I/O latency is long, or even the DTOE connection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DTOE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minimum DTOE window resource is too small. As a result, the peer host enters the delay send process for a long time, and disconnection occurs due to heartbeat loss.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compute logic of the minimum DTOE window resource.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DTS2024122413039</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number of heterogeneous LUNs is abnormal and residuals of deleted LUNs exist on some controllers.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storage system has four or more controllers.</w:t>
            </w:r>
          </w:p>
          <w:p>
            <w:pPr>
              <w:pStyle w:val="TableText"/>
            </w:pPr>
            <w:r>
              <w:t>2. Heterogeneous LUNs have been configured and deleted.</w:t>
            </w:r>
          </w:p>
          <w:p>
            <w:pPr>
              <w:pStyle w:val="TableText"/>
            </w:pPr>
            <w:r>
              <w:t>3. The appdata process has been restarted after LUN deletion.</w:t>
            </w:r>
          </w:p>
          <w:p>
            <w:pPr>
              <w:pStyle w:val="TableText"/>
            </w:pPr>
            <w:r>
              <w:t>There is an extremely low probability that this problem occurs when the preceding conditions are met.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There are residuals of deleted LUNs.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Heterogeneous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LUNs of a controller are modified, LUN information in the DB will also be updated. However, the write and delete operations on the LUN information in the DB are not mutually exclusive. As a result, information about deleted LUN remains. After the process is restarted, residual information about the LUNs is restored from the DB to the memory.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Add a lock for DB update operations.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DTS2024122117419</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When the extended group function is enabled and the number of extended user groups carried by a host is less than 16, user access is denied because the group information is not authenticated with that on the domain controller.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extended group function is enabled, and the number of groups in the authentication information sent by the host to the storage device is less than 16.</w:t>
            </w:r>
          </w:p>
          <w:p>
            <w:pPr>
              <w:pStyle w:val="TableText"/>
            </w:pPr>
            <w:r>
              <w:t>2. The user group information on the domain controller is changed, for example, a group is added.</w:t>
            </w:r>
          </w:p>
          <w:p>
            <w:pPr>
              <w:pStyle w:val="TableText"/>
            </w:pPr>
            <w:r>
              <w:t>3. The host cache is not updated. (The cache is updated after user switch.)</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access permission is not granted because the implementation mechanism is different from that of the peer vendor's new version, which may cause service interruption.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extended group function is enabled and the number of user groups to which a host user belongs is less than 16, the user group information cached on the host is used for authentication without combination with the group information on the domain controller.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Cancel the check on the number of user groups to which a host user belongs so that combined authentication will be performed even if the number is less than 16.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DTS2024121135481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MAC address conflicts occur and the storage latency increases.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interface module where a bond port is created is powered on and off alternately with other interface modules.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MAC address conflicts occur, resulting in packet loss and service retransmission upon timeout.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DEVM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interface module that is powered on first is allocated with the Ethernet port of another interface module, and the MAC address is overwritten.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logic for updating the MAC address of a bond port.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DTS2024122304461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Host 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capacity of the SSD performance layer is used up.</w:t>
            </w:r>
          </w:p>
          <w:p>
            <w:pPr>
              <w:pStyle w:val="TableText"/>
            </w:pPr>
            <w:r>
              <w:t>2. The allocated chunk ID exceeds the preset range.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Space allocation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capacity of the SSD performance layer is used up, there is a possibility that an error occurs during chunk ID allocation. As a result, 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process of allocating chunk IDs to prevent the allocated chunk IDs from exceeding the preset range.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DTS2024122310120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Services are interrupted for a short period of time during a fast upgrade.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process is restarted (for example, for fast upgrade).</w:t>
            </w:r>
          </w:p>
          <w:p>
            <w:pPr>
              <w:pStyle w:val="TableText"/>
            </w:pPr>
            <w:r>
              <w:t>2. The performance layer quota has been increased.</w:t>
            </w:r>
          </w:p>
          <w:p>
            <w:pPr>
              <w:pStyle w:val="TableText"/>
            </w:pPr>
            <w:r>
              <w:t>3. The used capacity of the storage pool is greater than the storage pool capacity before the performance layer quota is modified.</w:t>
            </w:r>
          </w:p>
          <w:p>
            <w:pPr>
              <w:pStyle w:val="TableText"/>
            </w:pPr>
            <w:r>
              <w:t>There is a low probability that this problem occurs when the preceding conditions are met.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Service interruption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Space management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Information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performance layer quota is modified, the capacity information is not refreshed. As a result, the capacity is abnormal for a short time during the fast upgrade.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During the fast upgrade, refresh the capacity quota information of the performance layer.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DTS2024121939849</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In the scenario where two ports of a 1823 NIC are connected to two H3C switches with M-LAG configured, intermittent disconnections of the switch ports continuously occur after one switch is powered off or restarted.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Ports on a 1823 NIC are connected to switches A and B, respectively.</w:t>
            </w:r>
          </w:p>
          <w:p>
            <w:pPr>
              <w:pStyle w:val="TableText"/>
            </w:pPr>
            <w:r>
              <w:t>2. Switches A and B form an M-LAG and are bonded with the NIC ports.</w:t>
            </w:r>
          </w:p>
          <w:p>
            <w:pPr>
              <w:pStyle w:val="TableText"/>
            </w:pPr>
            <w:r>
              <w:t>3. One switch is powered off or faulty, causing the M-LAG to fail.</w:t>
            </w:r>
          </w:p>
          <w:p>
            <w:pPr>
              <w:pStyle w:val="TableText"/>
            </w:pPr>
            <w:r>
              <w:t>4. After the M-LAG fails, the running switch uses its own sysid and pri fields to exchange LACP packets.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switch ports are intermittently disconnected, and the switch CPU usage remains high, affecting services.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microcode update condition of the bond offloading function is incorrect. Only the local end status is determined.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Change the microcode update condition so that determining the status of both the local and peer ends is required.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DTS2025020513754</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Files cannot be read or written after a CIFS share is mounted to macOS 14.</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Oplock/Lease switch is turned on for the vStore and turned off for the CIFS share.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Files in the CIFS share cannot be read or written.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CIFS share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switch is turned on for the vStore, the client sends a lease request. However, the switch is turned off for the share, so the storage system does not grant the lease and returns an all-0 lease message. The macOS cannot process the services normally. As a result, files cannot be read or written.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Return the lease key to the client if a lease request is denied so that the client can process services normally.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DTS2024120515327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the change service ndmp_scanbus command is executed, the tape library record disappears.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change service ndmp_scanbus command is executed.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tape library record cannot be found, and the backup software cannot continue the backup operation.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ndmp</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 scanning logic error occurs. As a result, after a tape library is deleted during scanning, the scanning is not performed again.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scanning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DTS2025010320686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Client Kerberos authentication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An AD domain user who does not have the permission to modify the Kerberos encryption algorithm is added to the AD domain.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 CIFS share cannot be accessed in Kerberos authentication mode.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NAS protocol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a user who does not have the permission to modify the Kerberos algorithm is added to the AD domain, the client uses the RC algorithm for Kerberos authentication by default. As a result, the authentication is rejected by the storage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Enable the storage system to support the RC4 encryption algorithm.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DTS2024122613344</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cached user information exceeds the expected cache expiration time.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User information has been changed by the domain controller.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Accessing to certain file or directories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NAS protocol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storage system does not use the cache generation time to calculate the cache expiration time. Instead, it uses the last cache access time. As a result, the cache is not refreshed in a timely manner.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Enable the storage system to check the cache expiration time based on the cache generation time.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DTS2024121922332</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For a file system with a security style of NTFS, after the robocopy command is executed to copy a local Windows file to the mount directory of the file system, the quota is counted under the mount user of the file system instead of the file owner.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security style of the file system is NTFS.</w:t>
            </w:r>
          </w:p>
          <w:p>
            <w:pPr>
              <w:pStyle w:val="TableText"/>
            </w:pPr>
            <w:r>
              <w:t>2. The quota function is enabled for the file system with the quota type being user quota and the quota user being all users.</w:t>
            </w:r>
          </w:p>
          <w:p>
            <w:pPr>
              <w:pStyle w:val="TableText"/>
            </w:pPr>
            <w:r>
              <w:t>3. The file system is mounted to a Windows host using CIFS.</w:t>
            </w:r>
          </w:p>
          <w:p>
            <w:pPr>
              <w:pStyle w:val="TableText"/>
            </w:pPr>
            <w:r>
              <w:t>4. A file is created locally on the Windows host and the owner of this local file is not the file system mount user.</w:t>
            </w:r>
          </w:p>
          <w:p>
            <w:pPr>
              <w:pStyle w:val="TableText"/>
            </w:pPr>
            <w:r>
              <w:t>5. The robocopy command is executed to copy the local Windows file to the mount directory of the file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quota statistics are inaccurate.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Quota</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During the robocopy command execution, the file is first created under the mount user and the transferred to its original owner using the chown command.</w:t>
            </w:r>
          </w:p>
          <w:p>
            <w:pPr>
              <w:pStyle w:val="TableText"/>
            </w:pPr>
            <w:r>
              <w:t>The old and new inodes need to be compared to determine whether quota statistics collection is triggered.</w:t>
            </w:r>
          </w:p>
          <w:p>
            <w:pPr>
              <w:pStyle w:val="TableText"/>
            </w:pPr>
            <w:r>
              <w:t>The logic for comparing the old and new inodes is incorrect. As a result, the new inode is regarded as the old inode.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Pass in the old inode and compare it with the new inode.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27" w:name="_EN-US_TOPIC_0000002260737906"/>
    <w:bookmarkEnd w:id="27"/>
    <w:p>
      <w:pPr>
        <w:pStyle w:val="Heading2"/>
      </w:pPr>
      <w:bookmarkStart w:id="28" w:name="_EN-US_TOPIC_0000002260737906-chtext"/>
      <w:bookmarkStart w:id="29" w:name="_Toc256000009"/>
      <w:r>
        <w:t>SPH5 Resolved Issues</w:t>
      </w:r>
      <w:bookmarkEnd w:id="29"/>
      <w:bookmarkEnd w:id="28"/>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DTS2024120500288</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Files of specific sizes cannot be encrypted and uploaded in Linux using the SMB3 protocol.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smbclient tool is used to encrypt and upload files of specific sizes.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Files of specific sizes fail to be uploaded.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NAS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There is a compatibility issue with certain Linux OSs in SMB3 encryption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NAS protocol offloading and the compliance in SMB3 encryption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DTS2024111926813</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Historical version information of files cannot be queried on a Windows host.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Historical information of files is queried on a Windows host.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function of querying historical version information is invalid.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Incorrect information is backfilled when historical version information of files is queried on a Windows host.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Enable correct file information to be returned when the historical version information of files is queried on a Windows host.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30" w:name="_EN-US_TOPIC_0000002260634812"/>
    <w:bookmarkEnd w:id="30"/>
    <w:p>
      <w:pPr>
        <w:pStyle w:val="Heading2"/>
      </w:pPr>
      <w:bookmarkStart w:id="31" w:name="_EN-US_TOPIC_0000002260634812-chtext"/>
      <w:bookmarkStart w:id="32" w:name="_Toc256000010"/>
      <w:r>
        <w:t>SPH2 Resolved Issues</w:t>
      </w:r>
      <w:bookmarkEnd w:id="32"/>
      <w:bookmarkEnd w:id="31"/>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DTS2024072323225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On DeviceManager, some controllers report alarms indicating that the CPU usage is excessively high.</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When the host service load is light, background deduplication tasks run at a high speed.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On DeviceManager, controller CPU overload alarms are frequently reported. If an alarm monitoring platform is configured, alarms indicating that the CPU usage is excessively high are frequently received.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Deduplication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Background deduplication tasks are running on the RV partition of the CPU. When deduplication tasks are running at a high speed, the usage of the RV partition increases, causing high CPU usage.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overload alarm policy for the controller CPU usage in medium- and low-load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DTS2024072419976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storage system supports the RSA-PSS or DS algorithm.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BSI Certification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BSI authentication failed.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OM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algorithm is incorrect, and the algorithm process is modified.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Query user permissions and map permissions and combine permissions.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DTS2024081531103</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controller resets when quotas are deleted.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More than four template quotas are created.</w:t>
            </w:r>
          </w:p>
          <w:p>
            <w:pPr>
              <w:pStyle w:val="TableText"/>
            </w:pPr>
            <w:r>
              <w:t>2. The quotas are deleted.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 controller resets.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number of template quotas exceeds 4, an out-of-bounds array access occurs when the quotas are deleted. As a result, the controller resets.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Mount the created template quotas to the linked list to prevent out-of-bounds array access.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DTS2024082624847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Controllers reset unexpectedly.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device is added to DME and performance data collection has been running for a long time.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Controllers reset unexpectedly.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OMM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Memory leak occurs on a download interface.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memory release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DTS2024081215211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KylinV10SP2 server arbitration fails to be installed. The installation is expected to succeed.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KylinV10SP2 operating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Failed to install the arbitration.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arbitrate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installation script fails to identify KylinV10SP2 in the operating system trustlist. As a result, an error is reported during the installation of the corresponding operating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The installation script of the arbitration software is modified so that the trustlist verification is successful when the KylinV10SP2 operating system is identified.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pPr>
        <w:sectPr>
          <w:headerReference w:type="even" r:id="rId38"/>
          <w:headerReference w:type="default" r:id="rId39"/>
          <w:footerReference w:type="even" r:id="rId40"/>
          <w:footerReference w:type="default" r:id="rId41"/>
          <w:type w:val="nextPage"/>
          <w:pgSz w:w="11907" w:h="16840" w:code="9"/>
          <w:pgMar w:top="1701" w:right="1134" w:bottom="1701" w:left="1134" w:header="567" w:footer="567" w:gutter="0"/>
          <w:pgNumType w:fmt="decimal"/>
          <w:cols w:space="425"/>
          <w:docGrid w:linePitch="312"/>
        </w:sectPr>
      </w:pPr>
    </w:p>
    <w:p>
      <w:pPr>
        <w:pStyle w:val="Heading1"/>
      </w:pPr>
      <w:bookmarkStart w:id="33" w:name="_EN-US_TOPIC_0000002260634804"/>
      <w:bookmarkEnd w:id="33"/>
      <w:bookmarkStart w:id="34" w:name="_EN-US_TOPIC_0000002260634804-chtext"/>
      <w:bookmarkStart w:id="35" w:name="_Toc256000011"/>
      <w:r>
        <w:t>Third-Party Software Vulnerability Fixes</w:t>
      </w:r>
      <w:bookmarkEnd w:id="35"/>
      <w:bookmarkEnd w:id="34"/>
    </w:p>
    <w:p>
      <w:r>
        <w:t xml:space="preserve">Vulnerability information can be queried using CVE IDs on the National Vulnerability Database (NVD) website: </w:t>
      </w:r>
      <w:hyperlink r:id="rId42" w:tooltip=" " w:history="1">
        <w:r>
          <w:rPr>
            <w:rStyle w:val="Hyperlink"/>
          </w:rPr>
          <w:t>http://web.nvd.nist.gov/view/vuln/search</w:t>
        </w:r>
      </w:hyperlink>
      <w:r>
        <w:t>.</w:t>
      </w:r>
    </w:p>
    <w:p>
      <w:pPr>
        <w:pStyle w:val="TableDescription"/>
      </w:pPr>
      <w:r>
        <w:t>Third-party software vulnerability fixes</w:t>
      </w:r>
    </w:p>
    <w:tbl>
      <w:tblPr>
        <w:tblStyle w:val="Table"/>
        <w:tblW w:w="7938" w:type="dxa"/>
        <w:tblInd w:w="1814" w:type="dxa"/>
        <w:tblLayout w:type="fixed"/>
        <w:tblLook w:val="01E0"/>
      </w:tblPr>
      <w:tblGrid>
        <w:gridCol w:w="1123"/>
        <w:gridCol w:w="1203"/>
        <w:gridCol w:w="1203"/>
        <w:gridCol w:w="1845"/>
        <w:gridCol w:w="2564"/>
      </w:tblGrid>
      <w:tr>
        <w:tblPrEx>
          <w:tblW w:w="7938" w:type="dxa"/>
          <w:tblInd w:w="1814" w:type="dxa"/>
          <w:tblLayout w:type="fixed"/>
          <w:tblLook w:val="01E0"/>
        </w:tblPrEx>
        <w:trPr>
          <w:cantSplit w:val="0"/>
          <w:tblHeader/>
        </w:trPr>
        <w:tc>
          <w:tcPr>
            <w:tcW w:w="707" w:type="pct"/>
            <w:tcBorders>
              <w:top w:val="single" w:sz="6" w:space="0" w:color="000000"/>
              <w:bottom w:val="single" w:sz="6" w:space="0" w:color="000000"/>
              <w:right w:val="single" w:sz="6" w:space="0" w:color="000000"/>
            </w:tcBorders>
            <w:shd w:val="clear" w:color="auto" w:fill="D9D9D9"/>
          </w:tcPr>
          <w:p>
            <w:pPr>
              <w:pStyle w:val="TableHeading"/>
            </w:pPr>
            <w:r>
              <w:t>Software</w:t>
            </w:r>
          </w:p>
        </w:tc>
        <w:tc>
          <w:tcPr>
            <w:tcW w:w="758" w:type="pct"/>
            <w:tcBorders>
              <w:top w:val="single" w:sz="6" w:space="0" w:color="000000"/>
              <w:bottom w:val="single" w:sz="6" w:space="0" w:color="000000"/>
              <w:right w:val="single" w:sz="6" w:space="0" w:color="000000"/>
            </w:tcBorders>
            <w:shd w:val="clear" w:color="auto" w:fill="D9D9D9"/>
          </w:tcPr>
          <w:p>
            <w:pPr>
              <w:pStyle w:val="TableHeading"/>
            </w:pPr>
            <w:r>
              <w:t>Version</w:t>
            </w:r>
          </w:p>
        </w:tc>
        <w:tc>
          <w:tcPr>
            <w:tcW w:w="758" w:type="pct"/>
            <w:tcBorders>
              <w:top w:val="single" w:sz="6" w:space="0" w:color="000000"/>
              <w:bottom w:val="single" w:sz="6" w:space="0" w:color="000000"/>
              <w:right w:val="single" w:sz="6" w:space="0" w:color="000000"/>
            </w:tcBorders>
            <w:shd w:val="clear" w:color="auto" w:fill="D9D9D9"/>
          </w:tcPr>
          <w:p>
            <w:pPr>
              <w:pStyle w:val="TableHeading"/>
            </w:pPr>
            <w:r>
              <w:t>CVE ID</w:t>
            </w:r>
          </w:p>
        </w:tc>
        <w:tc>
          <w:tcPr>
            <w:tcW w:w="1162" w:type="pct"/>
            <w:tcBorders>
              <w:top w:val="single" w:sz="6" w:space="0" w:color="000000"/>
              <w:bottom w:val="single" w:sz="6" w:space="0" w:color="000000"/>
              <w:right w:val="single" w:sz="6" w:space="0" w:color="000000"/>
            </w:tcBorders>
            <w:shd w:val="clear" w:color="auto" w:fill="D9D9D9"/>
          </w:tcPr>
          <w:p>
            <w:pPr>
              <w:pStyle w:val="TableHeading"/>
            </w:pPr>
            <w:r>
              <w:t>Vulnerability Description</w:t>
            </w:r>
          </w:p>
        </w:tc>
        <w:tc>
          <w:tcPr>
            <w:tcW w:w="1616" w:type="pct"/>
            <w:tcBorders>
              <w:top w:val="single" w:sz="6" w:space="0" w:color="000000"/>
              <w:bottom w:val="single" w:sz="6" w:space="0" w:color="000000"/>
            </w:tcBorders>
            <w:shd w:val="clear" w:color="auto" w:fill="D9D9D9"/>
          </w:tcPr>
          <w:p>
            <w:pPr>
              <w:pStyle w:val="TableHeading"/>
            </w:pPr>
            <w:r>
              <w:t>Solution</w:t>
            </w:r>
          </w:p>
        </w:tc>
      </w:tr>
      <w:tr>
        <w:tblPrEx>
          <w:tblW w:w="7938" w:type="dxa"/>
          <w:tblInd w:w="1814" w:type="dxa"/>
          <w:tblLayout w:type="fixed"/>
          <w:tblLook w:val="01E0"/>
        </w:tblPrEx>
        <w:trPr>
          <w:cantSplit w:val="0"/>
        </w:trPr>
        <w:tc>
          <w:tcPr>
            <w:tcW w:w="707" w:type="pct"/>
            <w:tcBorders>
              <w:top w:val="single" w:sz="6" w:space="0" w:color="000000"/>
              <w:bottom w:val="single" w:sz="6" w:space="0" w:color="000000"/>
              <w:right w:val="single" w:sz="6" w:space="0" w:color="000000"/>
            </w:tcBorders>
          </w:tcPr>
          <w:p>
            <w:pPr>
              <w:pStyle w:val="TableText"/>
            </w:pPr>
            <w:r>
              <w:t>-</w:t>
            </w:r>
          </w:p>
        </w:tc>
        <w:tc>
          <w:tcPr>
            <w:tcW w:w="758" w:type="pct"/>
            <w:tcBorders>
              <w:top w:val="single" w:sz="6" w:space="0" w:color="000000"/>
              <w:bottom w:val="single" w:sz="6" w:space="0" w:color="000000"/>
              <w:right w:val="single" w:sz="6" w:space="0" w:color="000000"/>
            </w:tcBorders>
          </w:tcPr>
          <w:p>
            <w:pPr>
              <w:pStyle w:val="TableText"/>
            </w:pPr>
            <w:r>
              <w:t>-</w:t>
            </w:r>
          </w:p>
        </w:tc>
        <w:tc>
          <w:tcPr>
            <w:tcW w:w="758" w:type="pct"/>
            <w:tcBorders>
              <w:top w:val="single" w:sz="6" w:space="0" w:color="000000"/>
              <w:bottom w:val="single" w:sz="6" w:space="0" w:color="000000"/>
              <w:right w:val="single" w:sz="6" w:space="0" w:color="000000"/>
            </w:tcBorders>
          </w:tcPr>
          <w:p>
            <w:pPr>
              <w:pStyle w:val="TableText"/>
            </w:pPr>
            <w:r>
              <w:t>-</w:t>
            </w:r>
          </w:p>
        </w:tc>
        <w:tc>
          <w:tcPr>
            <w:tcW w:w="1162" w:type="pct"/>
            <w:tcBorders>
              <w:top w:val="single" w:sz="6" w:space="0" w:color="000000"/>
              <w:bottom w:val="single" w:sz="6" w:space="0" w:color="000000"/>
              <w:right w:val="single" w:sz="6" w:space="0" w:color="000000"/>
            </w:tcBorders>
          </w:tcPr>
          <w:p>
            <w:pPr>
              <w:pStyle w:val="TableText"/>
            </w:pPr>
            <w:r>
              <w:t>-</w:t>
            </w:r>
          </w:p>
        </w:tc>
        <w:tc>
          <w:tcPr>
            <w:tcW w:w="1616" w:type="pct"/>
            <w:tcBorders>
              <w:top w:val="single" w:sz="6" w:space="0" w:color="000000"/>
              <w:bottom w:val="single" w:sz="6" w:space="0" w:color="000000"/>
            </w:tcBorders>
          </w:tcPr>
          <w:p>
            <w:pPr>
              <w:pStyle w:val="TableText"/>
            </w:pPr>
            <w:r>
              <w:t>-</w:t>
            </w:r>
          </w:p>
        </w:tc>
      </w:tr>
    </w:tbl>
    <w:p/>
    <w:sectPr>
      <w:headerReference w:type="even" r:id="rId43"/>
      <w:headerReference w:type="default" r:id="rId44"/>
      <w:footerReference w:type="even" r:id="rId45"/>
      <w:footerReference w:type="default" r:id="rId46"/>
      <w:type w:val="nextPage"/>
      <w:pgSz w:w="11907" w:h="16840" w:code="9"/>
      <w:pgMar w:top="1701" w:right="1134" w:bottom="1701" w:left="1134" w:header="567" w:footer="567" w:gutter="0"/>
      <w:pgNumType w:fmt="decimal"/>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p/>
    <w:p/>
    <w:p/>
    <w:p/>
  </w:endnote>
  <w:endnote w:type="continuationSeparator" w:id="1">
    <w:p>
      <w:r>
        <w:continuationSeparator/>
      </w:r>
    </w:p>
    <w:p/>
    <w:p/>
    <w:p/>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黑体">
    <w:panose1 w:val="02010600030101010101"/>
    <w:charset w:val="86"/>
    <w:family w:val="auto"/>
    <w:pitch w:val="variable"/>
    <w:sig w:usb0="00000001" w:usb1="080E0000" w:usb2="00000010" w:usb3="00000000" w:csb0="00040000" w:csb1="00000000"/>
  </w:font>
  <w:font w:name="@宋体">
    <w:panose1 w:val="02010600030101010101"/>
    <w:charset w:val="86"/>
    <w:family w:val="auto"/>
    <w:pitch w:val="variable"/>
    <w:sig w:usb0="00000003" w:usb1="080E0000" w:usb2="00000010"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noProof/>
            </w:rPr>
            <w:t>xi</w:t>
          </w:r>
          <w:r>
            <w:fldChar w:fldCharType="end"/>
          </w:r>
        </w:p>
      </w:tc>
    </w:tr>
  </w:tbl>
  <w:p>
    <w:pPr>
      <w:pStyle w:val="Heading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rFonts w:ascii="Times New Roman" w:eastAsia="宋体" w:cs="Times New Roman"/>
              <w:kern w:val="2"/>
              <w:sz w:val="20"/>
              <w:szCs w:val="20"/>
              <w:lang w:val="en-US" w:eastAsia="zh-CN" w:bidi="ar-SA"/>
            </w:rPr>
            <w:t>ii</w:t>
          </w:r>
          <w:r>
            <w:fldChar w:fldCharType="end"/>
          </w:r>
        </w:p>
      </w:tc>
    </w:tr>
  </w:tbl>
  <w:p>
    <w:pPr>
      <w:pStyle w:val="HeadingRigh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noProof/>
            </w:rPr>
            <w:t>i</w:t>
          </w:r>
          <w:r>
            <w:fldChar w:fldCharType="end"/>
          </w:r>
        </w:p>
      </w:tc>
    </w:tr>
  </w:tbl>
  <w:p>
    <w:pPr>
      <w:pStyle w:val="HeadingRight"/>
      <w:rPr>
        <w:rFonts w:hint="eastAsia"/>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iii</w:t>
          </w:r>
          <w:r>
            <w:fldChar w:fldCharType="end"/>
          </w:r>
        </w:p>
      </w:tc>
    </w:tr>
  </w:tbl>
  <w:p>
    <w:pPr>
      <w:pStyle w:val="HeadingRight"/>
      <w:rPr>
        <w:rFonts w:hint="eastAsia"/>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1</w:t>
          </w:r>
          <w:r>
            <w:fldChar w:fldCharType="end"/>
          </w:r>
        </w:p>
      </w:tc>
    </w:tr>
  </w:tbl>
  <w:p>
    <w:pPr>
      <w:pStyle w:val="HeadingRight"/>
      <w:rPr>
        <w:rFonts w:hint="eastAsia"/>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w:t>
          </w:r>
          <w:r>
            <w:fldChar w:fldCharType="end"/>
          </w:r>
        </w:p>
      </w:tc>
    </w:tr>
  </w:tbl>
  <w:p>
    <w:pPr>
      <w:pStyle w:val="HeadingRight"/>
      <w:rPr>
        <w:rFonts w:hint="eastAsia"/>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23</w:t>
          </w:r>
          <w:r>
            <w:fldChar w:fldCharType="end"/>
          </w:r>
        </w:p>
      </w:tc>
    </w:tr>
  </w:tbl>
  <w:p>
    <w:pPr>
      <w:pStyle w:val="HeadingRight"/>
      <w:rPr>
        <w:rFonts w:hint="eastAsia"/>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24</w:t>
          </w:r>
          <w:r>
            <w:fldChar w:fldCharType="end"/>
          </w:r>
        </w:p>
      </w:tc>
    </w:tr>
  </w:tbl>
  <w:p>
    <w:pPr>
      <w:pStyle w:val="HeadingRight"/>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p/>
    <w:p/>
    <w:p/>
    <w:p/>
  </w:footnote>
  <w:footnote w:type="continuationSeparator" w:id="1">
    <w:p>
      <w:r>
        <w:continuationSeparator/>
      </w:r>
    </w:p>
    <w:p/>
    <w:p/>
    <w:p/>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rPr>
              <w:noProof/>
            </w:rPr>
            <w:t>Contents (Contents)</w:t>
          </w:r>
          <w:r>
            <w:fldChar w:fldCharType="end"/>
          </w:r>
        </w:p>
      </w:tc>
    </w:tr>
  </w:tbl>
  <w:p>
    <w:pPr>
      <w:pStyle w:val="HeadingRigh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t>Contents</w:t>
          </w:r>
          <w:r>
            <w:fldChar w:fldCharType="end"/>
          </w:r>
        </w:p>
      </w:tc>
    </w:tr>
  </w:tbl>
  <w:p>
    <w:pPr>
      <w:pStyle w:val="HeadingRigh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 </w:t>
          </w:r>
          <w:r>
            <w:rPr>
              <w:noProof/>
            </w:rPr>
            <w:fldChar w:fldCharType="end"/>
          </w:r>
          <w:r>
            <w:fldChar w:fldCharType="begin"/>
          </w:r>
          <w:r>
            <w:instrText xml:space="preserve"> STYLEREF  "1"  </w:instrText>
          </w:r>
          <w:r>
            <w:fldChar w:fldCharType="separate"/>
          </w:r>
          <w:r>
            <w:t>Change History</w:t>
          </w:r>
          <w:r>
            <w:fldChar w:fldCharType="end"/>
          </w:r>
        </w:p>
      </w:tc>
    </w:tr>
  </w:tbl>
  <w:p>
    <w:pPr>
      <w:pStyle w:val="HeadingRight"/>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 </w:t>
          </w:r>
          <w:r>
            <w:rPr>
              <w:noProof/>
            </w:rPr>
            <w:fldChar w:fldCharType="end"/>
          </w:r>
          <w:r>
            <w:fldChar w:fldCharType="begin"/>
          </w:r>
          <w:r>
            <w:instrText xml:space="preserve"> STYLEREF  "1"  </w:instrText>
          </w:r>
          <w:r>
            <w:fldChar w:fldCharType="separate"/>
          </w:r>
          <w:r>
            <w:t>Patch Overview</w:t>
          </w:r>
          <w:r>
            <w:fldChar w:fldCharType="end"/>
          </w:r>
        </w:p>
      </w:tc>
    </w:tr>
  </w:tbl>
  <w:p>
    <w:pPr>
      <w:pStyle w:val="HeadingRight"/>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3 </w:t>
          </w:r>
          <w:r>
            <w:rPr>
              <w:noProof/>
            </w:rPr>
            <w:fldChar w:fldCharType="end"/>
          </w:r>
          <w:r>
            <w:fldChar w:fldCharType="begin"/>
          </w:r>
          <w:r>
            <w:instrText xml:space="preserve"> STYLEREF  "1"  </w:instrText>
          </w:r>
          <w:r>
            <w:fldChar w:fldCharType="separate"/>
          </w:r>
          <w:r>
            <w:t>Resolved Issues</w:t>
          </w:r>
          <w:r>
            <w:fldChar w:fldCharType="end"/>
          </w:r>
        </w:p>
      </w:tc>
    </w:tr>
  </w:tbl>
  <w:p>
    <w:pPr>
      <w:pStyle w:val="HeadingRight"/>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4 </w:t>
          </w:r>
          <w:r>
            <w:rPr>
              <w:noProof/>
            </w:rPr>
            <w:fldChar w:fldCharType="end"/>
          </w:r>
          <w:r>
            <w:fldChar w:fldCharType="begin"/>
          </w:r>
          <w:r>
            <w:instrText xml:space="preserve"> STYLEREF  "1"  </w:instrText>
          </w:r>
          <w:r>
            <w:fldChar w:fldCharType="separate"/>
          </w:r>
          <w:r>
            <w:t>Third-Party Software Vulnerability Fixes</w:t>
          </w:r>
          <w:r>
            <w:fldChar w:fldCharType="end"/>
          </w:r>
        </w:p>
      </w:tc>
    </w:tr>
  </w:tbl>
  <w:p>
    <w:pPr>
      <w:pStyle w:val="Heading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9A0F9D2"/>
    <w:lvl w:ilvl="0">
      <w:start w:val="1"/>
      <w:numFmt w:val="decimal"/>
      <w:pStyle w:val="ListNumber5"/>
      <w:lvlText w:val="%1."/>
      <w:lvlJc w:val="left"/>
      <w:pPr>
        <w:tabs>
          <w:tab w:val="num" w:pos="2040"/>
        </w:tabs>
        <w:ind w:left="2040" w:hanging="360"/>
      </w:pPr>
    </w:lvl>
  </w:abstractNum>
  <w:abstractNum w:abstractNumId="1">
    <w:nsid w:val="FFFFFF7D"/>
    <w:multiLevelType w:val="singleLevel"/>
    <w:tmpl w:val="B67E9368"/>
    <w:lvl w:ilvl="0">
      <w:start w:val="1"/>
      <w:numFmt w:val="decimal"/>
      <w:pStyle w:val="ListNumber4"/>
      <w:lvlText w:val="%1."/>
      <w:lvlJc w:val="left"/>
      <w:pPr>
        <w:tabs>
          <w:tab w:val="num" w:pos="1620"/>
        </w:tabs>
        <w:ind w:left="1620" w:hanging="360"/>
      </w:pPr>
    </w:lvl>
  </w:abstractNum>
  <w:abstractNum w:abstractNumId="2">
    <w:nsid w:val="FFFFFF7E"/>
    <w:multiLevelType w:val="singleLevel"/>
    <w:tmpl w:val="B3569E6A"/>
    <w:lvl w:ilvl="0">
      <w:start w:val="1"/>
      <w:numFmt w:val="decimal"/>
      <w:pStyle w:val="ListNumber3"/>
      <w:lvlText w:val="%1."/>
      <w:lvlJc w:val="left"/>
      <w:pPr>
        <w:tabs>
          <w:tab w:val="num" w:pos="1200"/>
        </w:tabs>
        <w:ind w:left="1200" w:hanging="360"/>
      </w:pPr>
    </w:lvl>
  </w:abstractNum>
  <w:abstractNum w:abstractNumId="3">
    <w:nsid w:val="FFFFFF7F"/>
    <w:multiLevelType w:val="singleLevel"/>
    <w:tmpl w:val="C380AB64"/>
    <w:lvl w:ilvl="0">
      <w:start w:val="1"/>
      <w:numFmt w:val="decimal"/>
      <w:pStyle w:val="ListNumber2"/>
      <w:lvlText w:val="%1."/>
      <w:lvlJc w:val="left"/>
      <w:pPr>
        <w:tabs>
          <w:tab w:val="num" w:pos="780"/>
        </w:tabs>
        <w:ind w:left="780" w:hanging="360"/>
      </w:pPr>
    </w:lvl>
  </w:abstractNum>
  <w:abstractNum w:abstractNumId="4">
    <w:nsid w:val="FFFFFF80"/>
    <w:multiLevelType w:val="singleLevel"/>
    <w:tmpl w:val="5540CDCC"/>
    <w:lvl w:ilvl="0">
      <w:start w:val="1"/>
      <w:numFmt w:val="bullet"/>
      <w:pStyle w:val="ListBullet5"/>
      <w:lvlText w:val=""/>
      <w:lvlJc w:val="left"/>
      <w:pPr>
        <w:tabs>
          <w:tab w:val="num" w:pos="2040"/>
        </w:tabs>
        <w:ind w:left="2040" w:hanging="360"/>
      </w:pPr>
      <w:rPr>
        <w:rFonts w:ascii="Wingdings" w:hAnsi="Wingdings" w:hint="default"/>
      </w:rPr>
    </w:lvl>
  </w:abstractNum>
  <w:abstractNum w:abstractNumId="5">
    <w:nsid w:val="FFFFFF81"/>
    <w:multiLevelType w:val="singleLevel"/>
    <w:tmpl w:val="62AAB2E4"/>
    <w:lvl w:ilvl="0">
      <w:start w:val="1"/>
      <w:numFmt w:val="bullet"/>
      <w:pStyle w:val="ListBullet4"/>
      <w:lvlText w:val=""/>
      <w:lvlJc w:val="left"/>
      <w:pPr>
        <w:tabs>
          <w:tab w:val="num" w:pos="1620"/>
        </w:tabs>
        <w:ind w:left="1620" w:hanging="360"/>
      </w:pPr>
      <w:rPr>
        <w:rFonts w:ascii="Wingdings" w:hAnsi="Wingdings" w:hint="default"/>
      </w:rPr>
    </w:lvl>
  </w:abstractNum>
  <w:abstractNum w:abstractNumId="6">
    <w:nsid w:val="FFFFFF82"/>
    <w:multiLevelType w:val="singleLevel"/>
    <w:tmpl w:val="82CC6F5A"/>
    <w:lvl w:ilvl="0">
      <w:start w:val="1"/>
      <w:numFmt w:val="bullet"/>
      <w:pStyle w:val="ListBullet3"/>
      <w:lvlText w:val=""/>
      <w:lvlJc w:val="left"/>
      <w:pPr>
        <w:tabs>
          <w:tab w:val="num" w:pos="1200"/>
        </w:tabs>
        <w:ind w:left="1200" w:hanging="360"/>
      </w:pPr>
      <w:rPr>
        <w:rFonts w:ascii="Wingdings" w:hAnsi="Wingdings" w:hint="default"/>
      </w:rPr>
    </w:lvl>
  </w:abstractNum>
  <w:abstractNum w:abstractNumId="7">
    <w:nsid w:val="FFFFFF83"/>
    <w:multiLevelType w:val="singleLevel"/>
    <w:tmpl w:val="8CEEF62C"/>
    <w:lvl w:ilvl="0">
      <w:start w:val="1"/>
      <w:numFmt w:val="bullet"/>
      <w:pStyle w:val="ListBullet2"/>
      <w:lvlText w:val=""/>
      <w:lvlJc w:val="left"/>
      <w:pPr>
        <w:tabs>
          <w:tab w:val="num" w:pos="780"/>
        </w:tabs>
        <w:ind w:left="780" w:hanging="360"/>
      </w:pPr>
      <w:rPr>
        <w:rFonts w:ascii="Wingdings" w:hAnsi="Wingdings" w:hint="default"/>
      </w:rPr>
    </w:lvl>
  </w:abstractNum>
  <w:abstractNum w:abstractNumId="8">
    <w:nsid w:val="FFFFFF88"/>
    <w:multiLevelType w:val="singleLevel"/>
    <w:tmpl w:val="DA3EF8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B607E8"/>
    <w:lvl w:ilvl="0">
      <w:start w:val="1"/>
      <w:numFmt w:val="bullet"/>
      <w:pStyle w:val="ListBullet"/>
      <w:lvlText w:val=""/>
      <w:lvlJc w:val="left"/>
      <w:pPr>
        <w:tabs>
          <w:tab w:val="num" w:pos="360"/>
        </w:tabs>
        <w:ind w:left="360" w:hanging="360"/>
      </w:pPr>
      <w:rPr>
        <w:rFonts w:ascii="Wingdings" w:hAnsi="Wingdings" w:hint="default"/>
      </w:rPr>
    </w:lvl>
  </w:abstractNum>
  <w:abstractNum w:abstractNumId="10">
    <w:nsid w:val="05581F28"/>
    <w:multiLevelType w:val="multilevel"/>
    <w:tmpl w:val="A9581F64"/>
    <w:lvl w:ilvl="0">
      <w:start w:val="1"/>
      <w:numFmt w:val="decimal"/>
      <w:suff w:val="nothing"/>
      <w:lvlText w:val="%1 "/>
      <w:lvlJc w:val="left"/>
      <w:pPr>
        <w:ind w:left="-143"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43"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559"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558"/>
        </w:tabs>
        <w:ind w:left="1558"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558"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558" w:firstLine="0"/>
      </w:pPr>
      <w:rPr>
        <w:rFonts w:ascii="Times New Roman" w:eastAsia="黑体" w:hAnsi="Times New Roman" w:hint="default"/>
        <w:b/>
        <w:bCs/>
        <w:i w:val="0"/>
        <w:iCs w:val="0"/>
        <w:color w:val="auto"/>
        <w:sz w:val="21"/>
        <w:szCs w:val="21"/>
      </w:rPr>
    </w:lvl>
  </w:abstractNum>
  <w:abstractNum w:abstractNumId="11">
    <w:nsid w:val="0EDB2900"/>
    <w:multiLevelType w:val="hybridMultilevel"/>
    <w:tmpl w:val="1698331E"/>
    <w:lvl w:ilvl="0">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12">
    <w:nsid w:val="13A674F3"/>
    <w:multiLevelType w:val="hybridMultilevel"/>
    <w:tmpl w:val="04DAA2B6"/>
    <w:lvl w:ilvl="0">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pStyle w:val="NotesTextListinTableSub"/>
      <w:lvlText w:val="−"/>
      <w:lvlJc w:val="left"/>
      <w:pPr>
        <w:tabs>
          <w:tab w:val="num" w:pos="738"/>
        </w:tabs>
        <w:ind w:left="738" w:hanging="284"/>
      </w:pPr>
      <w:rPr>
        <w:rFonts w:ascii="Times New Roman" w:hAnsi="Times New Roman" w:cs="Times New Roman" w:hint="default"/>
        <w:color w:val="auto"/>
        <w:spacing w:val="0"/>
        <w:w w:val="100"/>
        <w:position w:val="1"/>
        <w:sz w:val="13"/>
        <w:szCs w:val="13"/>
      </w:rPr>
    </w:lvl>
    <w:lvl w:ilvl="8" w:tentative="1">
      <w:start w:val="1"/>
      <w:numFmt w:val="bullet"/>
      <w:lvlText w:val=""/>
      <w:lvlJc w:val="left"/>
      <w:pPr>
        <w:tabs>
          <w:tab w:val="num" w:pos="3780"/>
        </w:tabs>
        <w:ind w:left="3780" w:hanging="420"/>
      </w:pPr>
      <w:rPr>
        <w:rFonts w:ascii="Wingdings" w:hAnsi="Wingdings" w:hint="default"/>
      </w:rPr>
    </w:lvl>
  </w:abstractNum>
  <w:abstractNum w:abstractNumId="13">
    <w:nsid w:val="14B10542"/>
    <w:multiLevelType w:val="multilevel"/>
    <w:tmpl w:val="3E44434C"/>
    <w:lvl w:ilvl="0">
      <w:start w:val="1"/>
      <w:numFmt w:val="decimal"/>
      <w:suff w:val="nothing"/>
      <w:lvlText w:val="%1 "/>
      <w:lvlJc w:val="left"/>
      <w:pPr>
        <w:ind w:left="-1"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1"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0"/>
        </w:tabs>
        <w:ind w:left="1700"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8"/>
        </w:tabs>
        <w:ind w:left="2268"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0"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0" w:firstLine="0"/>
      </w:pPr>
      <w:rPr>
        <w:rFonts w:ascii="Times New Roman" w:eastAsia="黑体" w:hAnsi="Times New Roman" w:hint="default"/>
        <w:b/>
        <w:bCs/>
        <w:i w:val="0"/>
        <w:iCs w:val="0"/>
        <w:color w:val="auto"/>
        <w:sz w:val="21"/>
        <w:szCs w:val="21"/>
      </w:rPr>
    </w:lvl>
  </w:abstractNum>
  <w:abstractNum w:abstractNumId="14">
    <w:nsid w:val="171657A1"/>
    <w:multiLevelType w:val="multilevel"/>
    <w:tmpl w:val="C83423D0"/>
    <w:lvl w:ilvl="0">
      <w:start w:val="1"/>
      <w:numFmt w:val="decimal"/>
      <w:pStyle w:val="Heading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2"/>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3"/>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Heading4"/>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Heading5"/>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5">
    <w:nsid w:val="23B92005"/>
    <w:multiLevelType w:val="hybridMultilevel"/>
    <w:tmpl w:val="F5E05ACC"/>
    <w:lvl w:ilvl="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6">
    <w:nsid w:val="26CA56B6"/>
    <w:multiLevelType w:val="multilevel"/>
    <w:tmpl w:val="F2D698BC"/>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7">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8">
    <w:nsid w:val="41C973A7"/>
    <w:multiLevelType w:val="hybridMultilevel"/>
    <w:tmpl w:val="FE2CA48E"/>
    <w:lvl w:ilvl="0">
      <w:start w:val="1"/>
      <w:numFmt w:val="decimal"/>
      <w:lvlRestart w:val="1"/>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9">
    <w:nsid w:val="41C973A8"/>
    <w:multiLevelType w:val="hybridMultilevel"/>
    <w:tmpl w:val="FE2CA49E"/>
    <w:lvl w:ilvl="0">
      <w:start w:val="1"/>
      <w:numFmt w:val="decimal"/>
      <w:lvlRestart w:val="1"/>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0">
    <w:nsid w:val="42A046D5"/>
    <w:multiLevelType w:val="multilevel"/>
    <w:tmpl w:val="04090023"/>
    <w:styleLink w:val="ArticleSection"/>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42CF4755"/>
    <w:multiLevelType w:val="hybridMultilevel"/>
    <w:tmpl w:val="1A940A0E"/>
    <w:lvl w:ilvl="0">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2">
    <w:nsid w:val="463C3DB5"/>
    <w:multiLevelType w:val="hybridMultilevel"/>
    <w:tmpl w:val="2668DBD8"/>
    <w:lvl w:ilvl="0">
      <w:start w:val="1"/>
      <w:numFmt w:val="decimal"/>
      <w:pStyle w:val="ItemStepinTable"/>
      <w:lvlText w:val="%1."/>
      <w:lvlJc w:val="left"/>
      <w:pPr>
        <w:tabs>
          <w:tab w:val="num" w:pos="284"/>
        </w:tabs>
        <w:ind w:left="284" w:hanging="284"/>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3">
    <w:nsid w:val="48977F3D"/>
    <w:multiLevelType w:val="multilevel"/>
    <w:tmpl w:val="6324B2C4"/>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24">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5">
    <w:nsid w:val="59154C37"/>
    <w:multiLevelType w:val="multilevel"/>
    <w:tmpl w:val="C83423D0"/>
    <w:lvl w:ilvl="0">
      <w:start w:val="1"/>
      <w:numFmt w:val="upperLetter"/>
      <w:pStyle w:val="Heading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6">
    <w:nsid w:val="667437AC"/>
    <w:multiLevelType w:val="hybridMultilevel"/>
    <w:tmpl w:val="DE3895E6"/>
    <w:lvl w:ilvl="0">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start w:val="1"/>
      <w:numFmt w:val="bullet"/>
      <w:pStyle w:val="NotesTextListSub"/>
      <w:lvlText w:val="−"/>
      <w:lvlJc w:val="left"/>
      <w:pPr>
        <w:tabs>
          <w:tab w:val="num" w:pos="2643"/>
        </w:tabs>
        <w:ind w:left="2643" w:hanging="284"/>
      </w:pPr>
      <w:rPr>
        <w:rFonts w:ascii="Times New Roman" w:hAnsi="Times New Roman" w:cs="Times New Roman" w:hint="default"/>
        <w:sz w:val="16"/>
        <w:szCs w:val="16"/>
      </w:rPr>
    </w:lvl>
    <w:lvl w:ilvl="2">
      <w:start w:val="1"/>
      <w:numFmt w:val="bullet"/>
      <w:pStyle w:val="NotesTextListThird"/>
      <w:lvlText w:val=""/>
      <w:lvlJc w:val="left"/>
      <w:pPr>
        <w:tabs>
          <w:tab w:val="num" w:pos="2927"/>
        </w:tabs>
        <w:ind w:left="2927" w:hanging="284"/>
      </w:pPr>
      <w:rPr>
        <w:rFonts w:ascii="Wingdings" w:hAnsi="Wingdings" w:cs="Wingdings" w:hint="default"/>
        <w:sz w:val="16"/>
        <w:szCs w:val="16"/>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7">
    <w:nsid w:val="6C066CF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8">
    <w:nsid w:val="6E230785"/>
    <w:multiLevelType w:val="hybridMultilevel"/>
    <w:tmpl w:val="21BCB028"/>
    <w:lvl w:ilvl="0">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entative="1">
      <w:start w:val="1"/>
      <w:numFmt w:val="bullet"/>
      <w:lvlText w:val=""/>
      <w:lvlJc w:val="left"/>
      <w:pPr>
        <w:tabs>
          <w:tab w:val="num" w:pos="3780"/>
        </w:tabs>
        <w:ind w:left="3780" w:hanging="420"/>
      </w:pPr>
      <w:rPr>
        <w:rFonts w:ascii="Wingdings" w:hAnsi="Wingdings" w:hint="default"/>
      </w:rPr>
    </w:lvl>
  </w:abstractNum>
  <w:abstractNum w:abstractNumId="29">
    <w:nsid w:val="70246594"/>
    <w:multiLevelType w:val="multilevel"/>
    <w:tmpl w:val="C83423D0"/>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30">
    <w:nsid w:val="78F51FEC"/>
    <w:multiLevelType w:val="multilevel"/>
    <w:tmpl w:val="697E5E88"/>
    <w:lvl w:ilvl="0">
      <w:start w:val="1"/>
      <w:numFmt w:val="upperLetter"/>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decimal"/>
      <w:lvlText w:val="Step %5"/>
      <w:lvlJc w:val="right"/>
      <w:pPr>
        <w:tabs>
          <w:tab w:val="num" w:pos="1701"/>
        </w:tabs>
        <w:ind w:left="1701" w:hanging="159"/>
      </w:pPr>
      <w:rPr>
        <w:rFonts w:ascii="Book Antiqua" w:hAnsi="Book Antiqua" w:cs="Times New Roman" w:hint="default"/>
        <w:b/>
        <w:bCs/>
        <w:i w:val="0"/>
        <w:iCs w:val="0"/>
        <w:sz w:val="21"/>
        <w:szCs w:val="21"/>
        <w:u w:val="none"/>
      </w:rPr>
    </w:lvl>
    <w:lvl w:ilvl="5">
      <w:start w:val="1"/>
      <w:numFmt w:val="decimal"/>
      <w:lvlText w:val="%6."/>
      <w:lvlJc w:val="left"/>
      <w:pPr>
        <w:tabs>
          <w:tab w:val="num" w:pos="2126"/>
        </w:tabs>
        <w:ind w:left="2126" w:hanging="425"/>
      </w:pPr>
      <w:rPr>
        <w:rFonts w:ascii="Times New Roman" w:hAnsi="Times New Roman" w:cs="Times New Roman" w:hint="default"/>
        <w:b w:val="0"/>
        <w:bCs/>
        <w:i w:val="0"/>
        <w:iCs w:val="0"/>
        <w:color w:val="auto"/>
        <w:sz w:val="21"/>
        <w:szCs w:val="21"/>
      </w:rPr>
    </w:lvl>
    <w:lvl w:ilvl="6">
      <w:start w:val="1"/>
      <w:numFmt w:val="decimal"/>
      <w:lvlRestart w:val="1"/>
      <w:suff w:val="space"/>
      <w:lvlText w:val="Figure %1-%7"/>
      <w:lvlJc w:val="left"/>
      <w:pPr>
        <w:ind w:left="1701" w:firstLine="0"/>
      </w:pPr>
      <w:rPr>
        <w:rFonts w:ascii="Times New Roman" w:hAnsi="Times New Roman" w:cs="Book Antiqua" w:hint="default"/>
        <w:b/>
        <w:bCs/>
        <w:i w:val="0"/>
        <w:iCs w:val="0"/>
        <w:sz w:val="21"/>
        <w:szCs w:val="21"/>
        <w:u w:val="none"/>
      </w:rPr>
    </w:lvl>
    <w:lvl w:ilvl="7">
      <w:start w:val="1"/>
      <w:numFmt w:val="decimal"/>
      <w:lvlRestart w:val="1"/>
      <w:suff w:val="space"/>
      <w:lvlText w:val="Tabl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none"/>
      <w:suff w:val="nothing"/>
      <w:lvlJc w:val="left"/>
      <w:pPr>
        <w:ind w:left="0" w:firstLine="0"/>
      </w:pPr>
      <w:rPr>
        <w:rFonts w:ascii="Book Antiqua" w:eastAsia="宋体" w:hAnsi="Book Antiqua" w:hint="default"/>
        <w:b/>
        <w:bCs/>
        <w:i w:val="0"/>
        <w:iCs w:val="0"/>
        <w:color w:val="000000"/>
        <w:sz w:val="28"/>
        <w:szCs w:val="28"/>
      </w:rPr>
    </w:lvl>
  </w:abstractNum>
  <w:abstractNum w:abstractNumId="31">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pStyle w:val="ItemStepinTable"/>
      <w:lvlText w:val="%9."/>
      <w:lvlJc w:val="left"/>
      <w:pPr>
        <w:tabs>
          <w:tab w:val="num" w:pos="284"/>
        </w:tabs>
        <w:ind w:left="284" w:hanging="284"/>
      </w:pPr>
      <w:rPr>
        <w:rFonts w:hint="eastAsia"/>
      </w:rPr>
    </w:lvl>
  </w:abstractNum>
  <w:abstractNum w:abstractNumId="32">
    <w:nsid w:val="7F773C36"/>
    <w:multiLevelType w:val="hybridMultilevel"/>
    <w:tmpl w:val="2CB47D37"/>
    <w:lvl w:ilvl="0">
      <w:start w:val="1"/>
      <w:numFmt w:val="decimal"/>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NotesTextStepSub"/>
      <w:lvlText w:val="%2."/>
      <w:lvlJc w:val="left"/>
      <w:pPr>
        <w:tabs>
          <w:tab w:val="num" w:pos="2643"/>
        </w:tabs>
        <w:ind w:left="2643" w:hanging="284"/>
      </w:pPr>
      <w:rPr>
        <w:rFonts w:ascii="Times New Roman" w:hAnsi="Times New Roman" w:cs="Book Antiqua" w:hint="default"/>
        <w:b w:val="0"/>
        <w:bCs/>
        <w:i w:val="0"/>
        <w:iCs w:val="0"/>
        <w:sz w:val="21"/>
        <w:szCs w:val="21"/>
        <w:u w:val="none"/>
      </w:rPr>
    </w:lvl>
    <w:lvl w:ilvl="2">
      <w:start w:val="1"/>
      <w:numFmt w:val="lowerRoman"/>
      <w:pStyle w:val="NotesTextStepThird"/>
      <w:lvlText w:val="%3."/>
      <w:lvlJc w:val="left"/>
      <w:pPr>
        <w:tabs>
          <w:tab w:val="num" w:pos="2927"/>
        </w:tabs>
        <w:ind w:left="2927" w:hanging="284"/>
      </w:pPr>
      <w:rPr>
        <w:rFonts w:ascii="Times New Roman" w:hAnsi="Times New Roman" w:cs="Book Antiqua" w:hint="default"/>
        <w:b w:val="0"/>
        <w:bCs/>
        <w:i w:val="0"/>
        <w:iCs w:val="0"/>
        <w:sz w:val="21"/>
        <w:szCs w:val="21"/>
        <w:u w:val="none"/>
      </w:rPr>
    </w:lvl>
    <w:lvl w:ilvl="3">
      <w:start w:val="1"/>
      <w:numFmt w:val="lowerLetter"/>
      <w:pStyle w:val="NotesTextStepinTableSub"/>
      <w:lvlText w:val="%4."/>
      <w:lvlJc w:val="left"/>
      <w:pPr>
        <w:tabs>
          <w:tab w:val="num" w:pos="738"/>
        </w:tabs>
        <w:ind w:left="738" w:hanging="284"/>
      </w:pPr>
      <w:rPr>
        <w:rFonts w:ascii="Times New Roman" w:hAnsi="Times New Roman" w:cs="Book Antiqua" w:hint="default"/>
        <w:b w:val="0"/>
        <w:bCs/>
        <w:i w:val="0"/>
        <w:iCs w:val="0"/>
        <w:sz w:val="21"/>
        <w:szCs w:val="21"/>
        <w:u w:val="none"/>
      </w:rPr>
    </w:lvl>
    <w:lvl w:ilvl="4" w:tentative="1">
      <w:start w:val="1"/>
      <w:numFmt w:val="bullet"/>
      <w:lvlText w:val=""/>
      <w:lvlJc w:val="left"/>
      <w:pPr>
        <w:tabs>
          <w:tab w:val="num" w:pos="1260"/>
        </w:tabs>
        <w:ind w:left="1260" w:hanging="420"/>
      </w:pPr>
      <w:rPr>
        <w:rFonts w:ascii="Wingdings" w:hAnsi="Wingdings" w:hint="default"/>
      </w:rPr>
    </w:lvl>
    <w:lvl w:ilvl="5" w:tentative="1">
      <w:start w:val="1"/>
      <w:numFmt w:val="bullet"/>
      <w:lvlText w:val=""/>
      <w:lvlJc w:val="left"/>
      <w:pPr>
        <w:tabs>
          <w:tab w:val="num" w:pos="1680"/>
        </w:tabs>
        <w:ind w:left="1680" w:hanging="420"/>
      </w:pPr>
      <w:rPr>
        <w:rFonts w:ascii="Wingdings" w:hAnsi="Wingdings" w:hint="default"/>
      </w:rPr>
    </w:lvl>
    <w:lvl w:ilvl="6">
      <w:start w:val="1"/>
      <w:numFmt w:val="lowerLetter"/>
      <w:pStyle w:val="NotesTextStepinTableSub"/>
      <w:lvlText w:val="%2."/>
      <w:lvlJc w:val="left"/>
      <w:pPr>
        <w:tabs>
          <w:tab w:val="num" w:pos="738"/>
        </w:tabs>
        <w:ind w:left="738" w:hanging="284"/>
      </w:pPr>
      <w:rPr>
        <w:rFonts w:ascii="Times New Roman" w:hAnsi="Times New Roman" w:cs="Book Antiqua" w:hint="default"/>
        <w:color w:val="auto"/>
        <w:spacing w:val="0"/>
        <w:w w:val="100"/>
        <w:position w:val="1"/>
        <w:sz w:val="18"/>
        <w:szCs w:val="18"/>
      </w:rPr>
    </w:lvl>
    <w:lvl w:ilvl="7" w:tentative="1">
      <w:start w:val="1"/>
      <w:numFmt w:val="bullet"/>
      <w:lvlText w:val=""/>
      <w:lvlJc w:val="left"/>
      <w:pPr>
        <w:tabs>
          <w:tab w:val="num" w:pos="2520"/>
        </w:tabs>
        <w:ind w:left="2520" w:hanging="420"/>
      </w:pPr>
      <w:rPr>
        <w:rFonts w:ascii="Wingdings" w:hAnsi="Wingdings" w:hint="default"/>
      </w:rPr>
    </w:lvl>
    <w:lvl w:ilvl="8">
      <w:start w:val="1"/>
      <w:numFmt w:val="decimal"/>
      <w:lvlRestart w:val="0"/>
      <w:lvlText w:val="%9."/>
      <w:lvlJc w:val="left"/>
      <w:pPr>
        <w:tabs>
          <w:tab w:val="num" w:pos="284"/>
        </w:tabs>
        <w:ind w:left="284" w:hanging="284"/>
      </w:pPr>
      <w:rPr>
        <w:rFonts w:hint="eastAsia"/>
      </w:rPr>
    </w:lvl>
  </w:abstractNum>
  <w:num w:numId="1">
    <w:abstractNumId w:val="11"/>
  </w:num>
  <w:num w:numId="2">
    <w:abstractNumId w:val="14"/>
  </w:num>
  <w:num w:numId="3">
    <w:abstractNumId w:val="2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0"/>
  </w:num>
  <w:num w:numId="15">
    <w:abstractNumId w:val="17"/>
  </w:num>
  <w:num w:numId="16">
    <w:abstractNumId w:val="27"/>
  </w:num>
  <w:num w:numId="17">
    <w:abstractNumId w:val="22"/>
  </w:num>
  <w:num w:numId="18">
    <w:abstractNumId w:val="28"/>
  </w:num>
  <w:num w:numId="19">
    <w:abstractNumId w:val="21"/>
  </w:num>
  <w:num w:numId="20">
    <w:abstractNumId w:val="12"/>
  </w:num>
  <w:num w:numId="21">
    <w:abstractNumId w:val="15"/>
  </w:num>
  <w:num w:numId="22">
    <w:abstractNumId w:val="23"/>
  </w:num>
  <w:num w:numId="23">
    <w:abstractNumId w:val="31"/>
  </w:num>
  <w:num w:numId="24">
    <w:abstractNumId w:val="13"/>
  </w:num>
  <w:num w:numId="25">
    <w:abstractNumId w:val="10"/>
  </w:num>
  <w:num w:numId="26">
    <w:abstractNumId w:val="16"/>
  </w:num>
  <w:num w:numId="27">
    <w:abstractNumId w:val="25"/>
  </w:num>
  <w:num w:numId="28">
    <w:abstractNumId w:val="29"/>
  </w:num>
  <w:num w:numId="29">
    <w:abstractNumId w:val="24"/>
  </w:num>
  <w:num w:numId="30">
    <w:abstractNumId w:val="24"/>
  </w:num>
  <w:num w:numId="31">
    <w:abstractNumId w:val="28"/>
  </w:num>
  <w:num w:numId="32">
    <w:abstractNumId w:val="24"/>
  </w:num>
  <w:num w:numId="33">
    <w:abstractNumId w:val="24"/>
  </w:num>
  <w:num w:numId="34">
    <w:abstractNumId w:val="24"/>
  </w:num>
  <w:num w:numId="35">
    <w:abstractNumId w:val="24"/>
  </w:num>
  <w:num w:numId="36">
    <w:abstractNumId w:val="24"/>
  </w:num>
  <w:num w:numId="37">
    <w:abstractNumId w:val="30"/>
  </w:num>
  <w:num w:numId="38">
    <w:abstractNumId w:val="32"/>
  </w:num>
  <w:num w:numId="39">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num>
  <w:num w:numId="42">
    <w:abstractNumId w:val="19"/>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formsDesign/>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Word2002TableStyleRules/>
    <w:doNotUseIndentAsNumberingTabStop/>
    <w:autofitToFirstFixedWidthCell/>
    <w:splitPgBreakAndParaMark/>
    <w:doNotVertAlignCellWithSp/>
    <w:doNotVertAlignInTxbx/>
  </w:compat>
  <w:rsids>
    <w:rsidRoot w:val="00000000"/>
  </w:rsids>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15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025A"/>
    <w:pPr>
      <w:topLinePunct/>
      <w:adjustRightInd w:val="0"/>
      <w:snapToGrid w:val="0"/>
      <w:spacing w:before="160" w:after="160" w:line="240" w:lineRule="atLeast"/>
      <w:ind w:left="1701"/>
    </w:pPr>
    <w:rPr>
      <w:rFonts w:cs="Arial"/>
      <w:kern w:val="2"/>
      <w:sz w:val="21"/>
      <w:szCs w:val="21"/>
      <w:lang w:val="en-US" w:eastAsia="zh-CN" w:bidi="ar-SA"/>
    </w:rPr>
  </w:style>
  <w:style w:type="paragraph" w:styleId="Heading1">
    <w:name w:val="heading 1"/>
    <w:basedOn w:val="Normal"/>
    <w:next w:val="Heading2"/>
    <w:qFormat/>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Heading2">
    <w:name w:val="heading 2"/>
    <w:basedOn w:val="Normal"/>
    <w:next w:val="Heading3"/>
    <w:qFormat/>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Heading3">
    <w:name w:val="heading 3"/>
    <w:basedOn w:val="Normal"/>
    <w:next w:val="Normal"/>
    <w:qFormat/>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Heading4">
    <w:name w:val="heading 4"/>
    <w:basedOn w:val="Normal"/>
    <w:next w:val="Normal"/>
    <w:qFormat/>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Heading5">
    <w:name w:val="heading 5"/>
    <w:basedOn w:val="Normal"/>
    <w:next w:val="Normal"/>
    <w:qFormat/>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Heading6">
    <w:name w:val="heading 6"/>
    <w:basedOn w:val="Normal"/>
    <w:next w:val="Normal"/>
    <w:qFormat/>
    <w:rsid w:val="00176DF9"/>
    <w:pPr>
      <w:keepNext/>
      <w:keepLines/>
      <w:numPr>
        <w:ilvl w:val="8"/>
        <w:numId w:val="36"/>
      </w:numPr>
      <w:spacing w:before="240" w:after="64" w:line="320" w:lineRule="atLeast"/>
      <w:outlineLvl w:val="5"/>
    </w:pPr>
    <w:rPr>
      <w:rFonts w:ascii="Arial" w:eastAsia="黑体" w:hAnsi="Arial" w:cs="Times New Roman"/>
      <w:b/>
      <w:bCs/>
    </w:rPr>
  </w:style>
  <w:style w:type="paragraph" w:styleId="Heading7">
    <w:name w:val="heading 7"/>
    <w:basedOn w:val="Heading1"/>
    <w:next w:val="Heading8"/>
    <w:qFormat/>
    <w:rsid w:val="00F613A7"/>
    <w:pPr>
      <w:keepLines/>
      <w:numPr>
        <w:numId w:val="27"/>
      </w:numPr>
      <w:pBdr>
        <w:bottom w:val="single" w:sz="4" w:space="1" w:color="auto"/>
      </w:pBdr>
      <w:topLinePunct w:val="0"/>
      <w:outlineLvl w:val="6"/>
    </w:pPr>
    <w:rPr>
      <w:bCs w:val="0"/>
    </w:rPr>
  </w:style>
  <w:style w:type="paragraph" w:styleId="Heading8">
    <w:name w:val="heading 8"/>
    <w:basedOn w:val="Heading2"/>
    <w:next w:val="Heading9"/>
    <w:qFormat/>
    <w:rsid w:val="00F613A7"/>
    <w:pPr>
      <w:numPr>
        <w:ilvl w:val="1"/>
        <w:numId w:val="27"/>
      </w:numPr>
      <w:topLinePunct w:val="0"/>
      <w:spacing w:before="200"/>
      <w:outlineLvl w:val="7"/>
    </w:pPr>
    <w:rPr>
      <w:rFonts w:cs="Times New Roman"/>
    </w:rPr>
  </w:style>
  <w:style w:type="paragraph" w:styleId="Heading9">
    <w:name w:val="heading 9"/>
    <w:basedOn w:val="Heading3"/>
    <w:next w:val="Normal"/>
    <w:qFormat/>
    <w:rsid w:val="00F613A7"/>
    <w:pPr>
      <w:numPr>
        <w:ilvl w:val="2"/>
        <w:numId w:val="27"/>
      </w:numPr>
      <w:topLinePunct w:val="0"/>
      <w:outlineLvl w:val="8"/>
    </w:pPr>
    <w:rPr>
      <w:rFonts w:cs="Times New Roma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InTitlePage">
    <w:name w:val="Normal In Title Page"/>
    <w:rsid w:val="00243C13"/>
    <w:rPr>
      <w:rFonts w:ascii="Arial" w:hAnsi="Arial" w:cs="Arial"/>
      <w:kern w:val="2"/>
      <w:sz w:val="22"/>
      <w:szCs w:val="22"/>
      <w:lang w:val="en-US" w:eastAsia="zh-CN" w:bidi="ar-SA"/>
    </w:rPr>
  </w:style>
  <w:style w:type="paragraph" w:customStyle="1" w:styleId="TableTextInTitlePage">
    <w:name w:val="Table Text In Title Page"/>
    <w:rsid w:val="00243C13"/>
    <w:pPr>
      <w:autoSpaceDE w:val="0"/>
      <w:autoSpaceDN w:val="0"/>
      <w:spacing w:before="80" w:after="80"/>
      <w:jc w:val="left"/>
    </w:pPr>
    <w:rPr>
      <w:rFonts w:ascii="Arial" w:hAnsi="Arial" w:cs="Arial"/>
      <w:kern w:val="0"/>
      <w:sz w:val="20"/>
      <w:szCs w:val="20"/>
    </w:rPr>
  </w:style>
  <w:style w:type="paragraph" w:customStyle="1" w:styleId="Appendixheading1">
    <w:name w:val="Appendix heading 1"/>
    <w:basedOn w:val="Heading1"/>
    <w:next w:val="2"/>
    <w:rsid w:val="00F613A7"/>
    <w:pPr>
      <w:keepLines/>
      <w:numPr>
        <w:numId w:val="36"/>
      </w:numPr>
      <w:pBdr>
        <w:bottom w:val="single" w:sz="12" w:space="1" w:color="auto"/>
      </w:pBdr>
      <w:topLinePunct w:val="0"/>
      <w:outlineLvl w:val="0"/>
    </w:pPr>
    <w:rPr>
      <w:bCs w:val="0"/>
    </w:rPr>
  </w:style>
  <w:style w:type="paragraph" w:customStyle="1" w:styleId="2">
    <w:name w:val="附录 标题 2"/>
    <w:basedOn w:val="Heading2"/>
    <w:next w:val="3"/>
    <w:rsid w:val="00F613A7"/>
    <w:pPr>
      <w:numPr>
        <w:ilvl w:val="1"/>
        <w:numId w:val="36"/>
      </w:numPr>
      <w:topLinePunct w:val="0"/>
      <w:spacing w:before="200"/>
      <w:outlineLvl w:val="1"/>
    </w:pPr>
    <w:rPr>
      <w:rFonts w:cs="Times New Roman"/>
    </w:rPr>
  </w:style>
  <w:style w:type="paragraph" w:customStyle="1" w:styleId="3">
    <w:name w:val="附录 标题 3"/>
    <w:basedOn w:val="Heading3"/>
    <w:next w:val="4"/>
    <w:rsid w:val="00F613A7"/>
    <w:pPr>
      <w:numPr>
        <w:ilvl w:val="2"/>
        <w:numId w:val="36"/>
      </w:numPr>
      <w:topLinePunct w:val="0"/>
      <w:outlineLvl w:val="2"/>
    </w:pPr>
    <w:rPr>
      <w:rFonts w:cs="Times New Roman"/>
    </w:rPr>
  </w:style>
  <w:style w:type="paragraph" w:customStyle="1" w:styleId="4">
    <w:name w:val="附录 标题 4"/>
    <w:basedOn w:val="Heading4"/>
    <w:next w:val="5"/>
    <w:rsid w:val="00F613A7"/>
    <w:pPr>
      <w:numPr>
        <w:ilvl w:val="3"/>
        <w:numId w:val="36"/>
      </w:numPr>
      <w:topLinePunct w:val="0"/>
      <w:outlineLvl w:val="3"/>
    </w:pPr>
    <w:rPr>
      <w:rFonts w:cs="Times New Roman"/>
    </w:rPr>
  </w:style>
  <w:style w:type="paragraph" w:customStyle="1" w:styleId="5">
    <w:name w:val="附录 标题 5"/>
    <w:basedOn w:val="Heading5"/>
    <w:next w:val="Normal"/>
    <w:rsid w:val="00F613A7"/>
    <w:pPr>
      <w:numPr>
        <w:ilvl w:val="4"/>
        <w:numId w:val="36"/>
      </w:numPr>
      <w:topLinePunct w:val="0"/>
      <w:outlineLvl w:val="4"/>
    </w:pPr>
    <w:rPr>
      <w:rFonts w:cs="Times New Roman"/>
    </w:rPr>
  </w:style>
  <w:style w:type="paragraph" w:customStyle="1" w:styleId="BlockLabel">
    <w:name w:val="Block Label"/>
    <w:basedOn w:val="Normal"/>
    <w:next w:val="Normal"/>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Normal"/>
    <w:next w:val="Normal"/>
    <w:rsid w:val="009502FF"/>
    <w:pPr>
      <w:keepNext/>
      <w:keepLines/>
      <w:numPr>
        <w:ilvl w:val="5"/>
        <w:numId w:val="2"/>
      </w:numPr>
      <w:spacing w:before="300" w:after="80"/>
    </w:pPr>
    <w:rPr>
      <w:rFonts w:ascii="Book Antiqua" w:eastAsia="黑体" w:hAnsi="Book Antiqua" w:cs="Book Antiqua"/>
      <w:b/>
      <w:bCs/>
      <w:kern w:val="0"/>
      <w:sz w:val="22"/>
      <w:szCs w:val="22"/>
    </w:rPr>
  </w:style>
  <w:style w:type="paragraph" w:customStyle="1" w:styleId="BlockLabelWithSixNumber">
    <w:name w:val="Block Label With Six Number"/>
    <w:basedOn w:val="Normal"/>
    <w:next w:val="Normal"/>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Normal"/>
    <w:next w:val="Normal"/>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Normal"/>
    <w:pPr>
      <w:keepNext/>
      <w:keepLines/>
      <w:spacing w:before="200" w:after="160"/>
    </w:pPr>
    <w:rPr>
      <w:rFonts w:ascii="Book Antiqua" w:hAnsi="Book Antiqua"/>
      <w:b/>
      <w:sz w:val="26"/>
      <w:szCs w:val="26"/>
    </w:rPr>
  </w:style>
  <w:style w:type="paragraph" w:customStyle="1" w:styleId="CopyrightDeclaration1">
    <w:name w:val="Copyright Declaration1"/>
    <w:rsid w:val="00F613A7"/>
    <w:pPr>
      <w:spacing w:before="80" w:after="80"/>
    </w:pPr>
    <w:rPr>
      <w:rFonts w:ascii="Arial" w:eastAsia="黑体" w:hAnsi="Arial" w:cs="Arial"/>
      <w:b/>
      <w:bCs/>
      <w:noProof/>
      <w:sz w:val="48"/>
      <w:szCs w:val="48"/>
      <w:lang w:val="en-US" w:eastAsia="zh-CN" w:bidi="ar-SA"/>
    </w:rPr>
  </w:style>
  <w:style w:type="paragraph" w:customStyle="1" w:styleId="BlockLabelinAppendix">
    <w:name w:val="Block Label in Appendix"/>
    <w:basedOn w:val="BlockLabel"/>
    <w:next w:val="Normal"/>
    <w:rsid w:val="00F613A7"/>
    <w:pPr>
      <w:numPr>
        <w:numId w:val="41"/>
      </w:numPr>
      <w:topLinePunct w:val="0"/>
    </w:pPr>
    <w:rPr>
      <w:rFonts w:eastAsia="Arial"/>
    </w:rPr>
  </w:style>
  <w:style w:type="paragraph" w:customStyle="1" w:styleId="Cover1">
    <w:name w:val="Cover 1"/>
    <w:basedOn w:val="Normal"/>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Normal"/>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Normal"/>
    <w:next w:val="Normal"/>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lang w:val="en-US" w:eastAsia="zh-CN" w:bidi="ar-SA"/>
    </w:rPr>
  </w:style>
  <w:style w:type="paragraph" w:customStyle="1" w:styleId="FigureText">
    <w:name w:val="Figure Text"/>
    <w:rsid w:val="00EA1E0F"/>
    <w:pPr>
      <w:widowControl w:val="0"/>
      <w:adjustRightInd w:val="0"/>
      <w:snapToGrid w:val="0"/>
      <w:spacing w:line="240" w:lineRule="atLeast"/>
    </w:pPr>
    <w:rPr>
      <w:rFonts w:cs="Arial"/>
      <w:sz w:val="18"/>
      <w:szCs w:val="18"/>
      <w:lang w:val="en-US" w:eastAsia="en-US" w:bidi="ar-SA"/>
    </w:rPr>
  </w:style>
  <w:style w:type="paragraph" w:customStyle="1" w:styleId="HeadingLeft">
    <w:name w:val="Heading Left"/>
    <w:basedOn w:val="Normal"/>
    <w:rsid w:val="003C13A3"/>
    <w:pPr>
      <w:spacing w:before="0" w:after="0"/>
      <w:ind w:left="0"/>
    </w:pPr>
    <w:rPr>
      <w:rFonts w:ascii="Times New Roman" w:eastAsia="宋体"/>
      <w:sz w:val="20"/>
      <w:szCs w:val="20"/>
    </w:rPr>
  </w:style>
  <w:style w:type="paragraph" w:customStyle="1" w:styleId="HeadingRight">
    <w:name w:val="Heading Right"/>
    <w:basedOn w:val="Normal"/>
    <w:rsid w:val="003C13A3"/>
    <w:pPr>
      <w:spacing w:before="0" w:after="0"/>
      <w:ind w:left="0"/>
      <w:jc w:val="right"/>
    </w:pPr>
    <w:rPr>
      <w:rFonts w:ascii="Times New Roman" w:cs="Times New Roman"/>
      <w:sz w:val="20"/>
      <w:szCs w:val="20"/>
    </w:rPr>
  </w:style>
  <w:style w:type="paragraph" w:customStyle="1" w:styleId="Heading1NoNumber">
    <w:name w:val="Heading1 No Number"/>
    <w:basedOn w:val="Heading1"/>
    <w:next w:val="Normal"/>
    <w:rsid w:val="007D4CBD"/>
    <w:pPr>
      <w:pageBreakBefore/>
      <w:numPr>
        <w:numId w:val="0"/>
      </w:numPr>
    </w:pPr>
    <w:rPr>
      <w:rFonts w:eastAsia="宋体"/>
    </w:rPr>
  </w:style>
  <w:style w:type="paragraph" w:customStyle="1" w:styleId="Heading2NoNumber">
    <w:name w:val="Heading2 No Number"/>
    <w:basedOn w:val="Heading2"/>
    <w:next w:val="Normal"/>
    <w:rsid w:val="007D4CBD"/>
    <w:pPr>
      <w:numPr>
        <w:ilvl w:val="0"/>
        <w:numId w:val="0"/>
      </w:numPr>
      <w:outlineLvl w:val="9"/>
    </w:pPr>
    <w:rPr>
      <w:rFonts w:eastAsia="宋体"/>
    </w:rPr>
  </w:style>
  <w:style w:type="paragraph" w:customStyle="1" w:styleId="Heading2NoNumber4lite">
    <w:name w:val="Heading2 No Number 4 lite"/>
    <w:basedOn w:val="Heading2"/>
    <w:next w:val="Normal"/>
    <w:rsid w:val="007D4CBD"/>
    <w:pPr>
      <w:numPr>
        <w:ilvl w:val="0"/>
        <w:numId w:val="0"/>
      </w:numPr>
    </w:pPr>
    <w:rPr>
      <w:rFonts w:eastAsia="宋体"/>
    </w:rPr>
  </w:style>
  <w:style w:type="paragraph" w:customStyle="1" w:styleId="Heading3NoNumber">
    <w:name w:val="Heading3 No Number"/>
    <w:basedOn w:val="Heading3"/>
    <w:next w:val="Normal"/>
    <w:rsid w:val="007D4CBD"/>
    <w:pPr>
      <w:numPr>
        <w:ilvl w:val="0"/>
        <w:numId w:val="0"/>
      </w:numPr>
    </w:pPr>
    <w:rPr>
      <w:rFonts w:eastAsia="宋体" w:cs="Book Antiqua"/>
    </w:rPr>
  </w:style>
  <w:style w:type="paragraph" w:customStyle="1" w:styleId="Heading4NoNumber">
    <w:name w:val="Heading4 No Number"/>
    <w:basedOn w:val="Normal"/>
    <w:semiHidden/>
    <w:rsid w:val="007D4CBD"/>
    <w:pPr>
      <w:keepNext/>
      <w:spacing w:before="200"/>
    </w:pPr>
    <w:rPr>
      <w:b/>
      <w:bCs/>
      <w:spacing w:val="-4"/>
    </w:rPr>
  </w:style>
  <w:style w:type="paragraph" w:customStyle="1" w:styleId="AboutThisChapter">
    <w:name w:val="About This Chapter"/>
    <w:basedOn w:val="Heading2NoNumber"/>
    <w:next w:val="Normal"/>
    <w:rsid w:val="009E2329"/>
    <w:pPr>
      <w:spacing w:after="560"/>
    </w:pPr>
  </w:style>
  <w:style w:type="numbering" w:styleId="111111">
    <w:name w:val="Outline List 2"/>
    <w:basedOn w:val="NoList"/>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lang w:val="en-US" w:eastAsia="zh-CN" w:bidi="ar-SA"/>
    </w:rPr>
  </w:style>
  <w:style w:type="paragraph" w:customStyle="1" w:styleId="ItemListinTable">
    <w:name w:val="Item List in Table"/>
    <w:basedOn w:val="Normal"/>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Normal"/>
    <w:pPr>
      <w:numPr>
        <w:ilvl w:val="2"/>
        <w:numId w:val="31"/>
      </w:numPr>
      <w:spacing w:before="80" w:after="80"/>
    </w:pPr>
  </w:style>
  <w:style w:type="paragraph" w:customStyle="1" w:styleId="SubItemStepinTable">
    <w:name w:val="Sub Item Step in Table"/>
    <w:pPr>
      <w:numPr>
        <w:ilvl w:val="1"/>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StepinTableList">
    <w:name w:val="Sub Item Step in Table List"/>
    <w:pPr>
      <w:numPr>
        <w:ilvl w:val="3"/>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ListinTableStep">
    <w:name w:val="Sub Item List in Table Step"/>
    <w:basedOn w:val="Normal"/>
    <w:pPr>
      <w:numPr>
        <w:ilvl w:val="4"/>
        <w:numId w:val="31"/>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lang w:val="en-US" w:eastAsia="zh-CN" w:bidi="ar-SA"/>
    </w:rPr>
  </w:style>
  <w:style w:type="paragraph" w:customStyle="1" w:styleId="ItemStep">
    <w:name w:val="Item Step"/>
    <w:rsid w:val="009502FF"/>
    <w:pPr>
      <w:numPr>
        <w:ilvl w:val="0"/>
        <w:numId w:val="23"/>
      </w:numPr>
      <w:adjustRightInd w:val="0"/>
      <w:snapToGrid w:val="0"/>
      <w:spacing w:before="80" w:after="80" w:line="240" w:lineRule="atLeast"/>
    </w:pPr>
    <w:rPr>
      <w:rFonts w:cs="Arial"/>
      <w:sz w:val="21"/>
      <w:szCs w:val="21"/>
      <w:lang w:val="en-US" w:eastAsia="zh-CN" w:bidi="ar-SA"/>
    </w:rPr>
  </w:style>
  <w:style w:type="paragraph" w:customStyle="1" w:styleId="SubItemStep">
    <w:name w:val="Sub Item Step"/>
    <w:pPr>
      <w:numPr>
        <w:ilvl w:val="1"/>
        <w:numId w:val="23"/>
      </w:numPr>
      <w:adjustRightInd w:val="0"/>
      <w:snapToGrid w:val="0"/>
      <w:spacing w:before="80" w:after="80" w:line="240" w:lineRule="atLeast"/>
    </w:pPr>
    <w:rPr>
      <w:rFonts w:cs="Arial"/>
      <w:sz w:val="21"/>
      <w:szCs w:val="21"/>
      <w:lang w:val="en-US" w:eastAsia="zh-CN" w:bidi="ar-SA"/>
    </w:rPr>
  </w:style>
  <w:style w:type="paragraph" w:customStyle="1" w:styleId="ThirdLevelItemStep">
    <w:name w:val="Third Level Item Step"/>
    <w:pPr>
      <w:numPr>
        <w:ilvl w:val="2"/>
        <w:numId w:val="23"/>
      </w:numPr>
      <w:adjustRightInd w:val="0"/>
      <w:snapToGrid w:val="0"/>
      <w:spacing w:before="80" w:after="80" w:line="240" w:lineRule="atLeast"/>
    </w:pPr>
    <w:rPr>
      <w:rFonts w:cs="Arial" w:hint="default"/>
      <w:sz w:val="21"/>
      <w:szCs w:val="21"/>
      <w:lang w:val="en-US" w:eastAsia="zh-CN" w:bidi="ar-SA"/>
    </w:rPr>
  </w:style>
  <w:style w:type="paragraph" w:customStyle="1" w:styleId="FourthLevelItemStep">
    <w:name w:val="Fourth Level Item Step"/>
    <w:pPr>
      <w:numPr>
        <w:ilvl w:val="3"/>
        <w:numId w:val="23"/>
      </w:numPr>
      <w:adjustRightInd w:val="0"/>
      <w:snapToGrid w:val="0"/>
      <w:spacing w:before="80" w:after="80" w:line="240" w:lineRule="atLeast"/>
    </w:pPr>
    <w:rPr>
      <w:rFonts w:cs="Arial" w:hint="default"/>
      <w:sz w:val="21"/>
      <w:szCs w:val="21"/>
      <w:lang w:val="en-US" w:eastAsia="zh-CN" w:bidi="ar-SA"/>
    </w:rPr>
  </w:style>
  <w:style w:type="paragraph" w:customStyle="1" w:styleId="ManualTitle1">
    <w:name w:val="Manual Title1"/>
    <w:semiHidden/>
    <w:rsid w:val="00446256"/>
    <w:rPr>
      <w:rFonts w:ascii="Arial" w:eastAsia="黑体" w:hAnsi="Arial"/>
      <w:noProof/>
      <w:sz w:val="30"/>
      <w:lang w:val="en-US" w:eastAsia="en-US" w:bidi="ar-SA"/>
    </w:rPr>
  </w:style>
  <w:style w:type="paragraph" w:customStyle="1" w:styleId="CAUTIONHeading">
    <w:name w:val="CAUTION Heading"/>
    <w:basedOn w:val="Normal"/>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lang w:val="en-US" w:eastAsia="zh-CN" w:bidi="ar-SA"/>
    </w:rPr>
  </w:style>
  <w:style w:type="paragraph" w:customStyle="1" w:styleId="CAUTIONText">
    <w:name w:val="CAUTION Text"/>
    <w:basedOn w:val="Normal"/>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lang w:val="en-US" w:eastAsia="zh-CN" w:bidi="ar-SA"/>
    </w:rPr>
  </w:style>
  <w:style w:type="paragraph" w:customStyle="1" w:styleId="CAUTIONTextList">
    <w:name w:val="CAUTION Text List"/>
    <w:basedOn w:val="CAUTIONText"/>
    <w:rsid w:val="0048609F"/>
    <w:pPr>
      <w:keepNext/>
      <w:numPr>
        <w:numId w:val="21"/>
      </w:numPr>
    </w:pPr>
  </w:style>
  <w:style w:type="table" w:customStyle="1" w:styleId="Table">
    <w:name w:val="Table"/>
    <w:basedOn w:val="TableProfessional"/>
    <w:rsid w:val="00B937D5"/>
    <w:pPr>
      <w:jc w:val="left"/>
    </w:pPr>
    <w:rPr>
      <w:rFonts w:cs="Arial"/>
      <w:lang w:bidi="ar-SA"/>
    </w:rPr>
    <w:tblPr>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cantSplit/>
    </w:tr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TableGrid">
    <w:name w:val="Table Grid"/>
    <w:basedOn w:val="TableNormal"/>
    <w:semiHidden/>
    <w:rsid w:val="0044625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ep">
    <w:name w:val="Step"/>
    <w:basedOn w:val="Normal"/>
    <w:rsid w:val="009502FF"/>
    <w:pPr>
      <w:numPr>
        <w:ilvl w:val="6"/>
        <w:numId w:val="2"/>
      </w:numPr>
    </w:pPr>
    <w:rPr>
      <w:snapToGrid w:val="0"/>
      <w:kern w:val="0"/>
    </w:rPr>
  </w:style>
  <w:style w:type="paragraph" w:customStyle="1" w:styleId="SubItemList">
    <w:name w:val="Sub Item List"/>
    <w:basedOn w:val="Normal"/>
    <w:rsid w:val="00027249"/>
    <w:pPr>
      <w:numPr>
        <w:numId w:val="1"/>
      </w:numPr>
      <w:spacing w:before="80" w:after="80"/>
    </w:pPr>
  </w:style>
  <w:style w:type="paragraph" w:customStyle="1" w:styleId="ThirdLevelItemList">
    <w:name w:val="Third Level Item List"/>
    <w:basedOn w:val="Normal"/>
    <w:rsid w:val="004E5A8A"/>
    <w:pPr>
      <w:numPr>
        <w:ilvl w:val="1"/>
        <w:numId w:val="1"/>
      </w:numPr>
      <w:spacing w:before="80" w:after="80"/>
    </w:pPr>
  </w:style>
  <w:style w:type="paragraph" w:customStyle="1" w:styleId="FourthLevelItemList">
    <w:name w:val="Fourth Level Item List"/>
    <w:basedOn w:val="Normal"/>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lang w:val="en-US" w:eastAsia="zh-CN" w:bidi="ar-SA"/>
    </w:rPr>
  </w:style>
  <w:style w:type="paragraph" w:customStyle="1" w:styleId="ThirdLevelItemListText">
    <w:name w:val="Third Level Item List Text"/>
    <w:rsid w:val="00C41A41"/>
    <w:pPr>
      <w:adjustRightInd w:val="0"/>
      <w:snapToGrid w:val="0"/>
      <w:spacing w:before="80" w:after="80" w:line="240" w:lineRule="atLeast"/>
      <w:ind w:left="2976"/>
    </w:pPr>
    <w:rPr>
      <w:rFonts w:cs="Arial" w:hint="default"/>
      <w:kern w:val="2"/>
      <w:sz w:val="21"/>
      <w:szCs w:val="21"/>
      <w:lang w:val="en-US" w:eastAsia="zh-CN" w:bidi="ar-SA"/>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hint="default"/>
      <w:kern w:val="2"/>
      <w:sz w:val="21"/>
      <w:szCs w:val="21"/>
      <w:lang w:val="en-US" w:eastAsia="zh-CN" w:bidi="ar-SA"/>
    </w:rPr>
  </w:style>
  <w:style w:type="paragraph" w:styleId="Title">
    <w:name w:val="Title"/>
    <w:basedOn w:val="Normal"/>
    <w:semiHidden/>
    <w:qFormat/>
    <w:rsid w:val="009B2A47"/>
    <w:pPr>
      <w:spacing w:before="240" w:after="60"/>
      <w:jc w:val="center"/>
      <w:outlineLvl w:val="0"/>
    </w:pPr>
    <w:rPr>
      <w:rFonts w:ascii="Arial" w:hAnsi="Arial"/>
      <w:b/>
      <w:bCs/>
      <w:sz w:val="32"/>
      <w:szCs w:val="32"/>
    </w:rPr>
  </w:style>
  <w:style w:type="table" w:styleId="TableProfessional">
    <w:name w:val="Table Professional"/>
    <w:basedOn w:val="TableNormal"/>
    <w:semiHidden/>
    <w:rsid w:val="00446256"/>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Normal"/>
    <w:next w:val="Normal"/>
    <w:rsid w:val="001171CE"/>
    <w:pPr>
      <w:keepNext/>
      <w:numPr>
        <w:ilvl w:val="8"/>
        <w:numId w:val="2"/>
      </w:numPr>
      <w:spacing w:before="320" w:after="80"/>
    </w:pPr>
    <w:rPr>
      <w:rFonts w:eastAsia="黑体"/>
      <w:spacing w:val="-4"/>
    </w:rPr>
  </w:style>
  <w:style w:type="paragraph" w:customStyle="1" w:styleId="TableNote">
    <w:name w:val="Table Note"/>
    <w:basedOn w:val="Normal"/>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lang w:val="en-US" w:eastAsia="zh-CN" w:bidi="ar-SA"/>
    </w:rPr>
  </w:style>
  <w:style w:type="paragraph" w:styleId="TOC1">
    <w:name w:val="toc 1"/>
    <w:basedOn w:val="Normal"/>
    <w:next w:val="Normal"/>
    <w:semiHidden/>
    <w:rsid w:val="00A82433"/>
    <w:pPr>
      <w:spacing w:after="80"/>
      <w:ind w:left="0"/>
    </w:pPr>
    <w:rPr>
      <w:rFonts w:ascii="Book Antiqua" w:hAnsi="Book Antiqua" w:cs="Book Antiqua"/>
      <w:b/>
      <w:bCs/>
      <w:sz w:val="24"/>
      <w:szCs w:val="24"/>
    </w:rPr>
  </w:style>
  <w:style w:type="paragraph" w:styleId="TOC2">
    <w:name w:val="toc 2"/>
    <w:basedOn w:val="Normal"/>
    <w:next w:val="Normal"/>
    <w:semiHidden/>
    <w:rsid w:val="00A82433"/>
    <w:pPr>
      <w:spacing w:before="80" w:after="80"/>
      <w:ind w:left="0"/>
    </w:pPr>
    <w:rPr>
      <w:noProof/>
      <w:sz w:val="20"/>
      <w:szCs w:val="20"/>
    </w:rPr>
  </w:style>
  <w:style w:type="paragraph" w:styleId="TOC3">
    <w:name w:val="toc 3"/>
    <w:basedOn w:val="Normal"/>
    <w:next w:val="Normal"/>
    <w:semiHidden/>
    <w:rsid w:val="00A82433"/>
    <w:pPr>
      <w:spacing w:before="80" w:after="80"/>
      <w:ind w:left="0"/>
    </w:pPr>
    <w:rPr>
      <w:noProof/>
      <w:sz w:val="20"/>
      <w:szCs w:val="20"/>
    </w:rPr>
  </w:style>
  <w:style w:type="paragraph" w:styleId="TOC4">
    <w:name w:val="toc 4"/>
    <w:basedOn w:val="Normal"/>
    <w:next w:val="Normal"/>
    <w:rsid w:val="00BB3B70"/>
    <w:pPr>
      <w:spacing w:before="80" w:after="80"/>
      <w:ind w:left="0"/>
    </w:pPr>
    <w:rPr>
      <w:sz w:val="20"/>
      <w:szCs w:val="20"/>
    </w:rPr>
  </w:style>
  <w:style w:type="paragraph" w:styleId="TOC5">
    <w:name w:val="toc 5"/>
    <w:basedOn w:val="Normal"/>
    <w:next w:val="Normal"/>
    <w:autoRedefine/>
    <w:semiHidden/>
    <w:rsid w:val="00446256"/>
    <w:pPr>
      <w:spacing w:before="80" w:after="80"/>
      <w:ind w:left="0"/>
    </w:pPr>
    <w:rPr>
      <w:noProof/>
      <w:sz w:val="20"/>
      <w:szCs w:val="20"/>
    </w:rPr>
  </w:style>
  <w:style w:type="paragraph" w:styleId="TOC6">
    <w:name w:val="toc 6"/>
    <w:basedOn w:val="Normal"/>
    <w:next w:val="Normal"/>
    <w:autoRedefine/>
    <w:semiHidden/>
    <w:rsid w:val="00446256"/>
    <w:pPr>
      <w:ind w:left="2100"/>
    </w:pPr>
    <w:rPr>
      <w:sz w:val="24"/>
    </w:rPr>
  </w:style>
  <w:style w:type="paragraph" w:styleId="TOC7">
    <w:name w:val="toc 7"/>
    <w:basedOn w:val="Normal"/>
    <w:next w:val="Normal"/>
    <w:autoRedefine/>
    <w:semiHidden/>
    <w:rsid w:val="00446256"/>
    <w:pPr>
      <w:ind w:left="2520"/>
    </w:pPr>
    <w:rPr>
      <w:sz w:val="24"/>
    </w:rPr>
  </w:style>
  <w:style w:type="paragraph" w:styleId="TOC8">
    <w:name w:val="toc 8"/>
    <w:basedOn w:val="Normal"/>
    <w:next w:val="Normal"/>
    <w:autoRedefine/>
    <w:semiHidden/>
    <w:rsid w:val="00446256"/>
    <w:pPr>
      <w:ind w:left="2940"/>
    </w:pPr>
    <w:rPr>
      <w:sz w:val="24"/>
    </w:rPr>
  </w:style>
  <w:style w:type="paragraph" w:styleId="TOC9">
    <w:name w:val="toc 9"/>
    <w:basedOn w:val="Normal"/>
    <w:next w:val="Normal"/>
    <w:autoRedefine/>
    <w:semiHidden/>
    <w:rsid w:val="00446256"/>
    <w:pPr>
      <w:ind w:left="3360"/>
    </w:pPr>
    <w:rPr>
      <w:sz w:val="24"/>
    </w:rPr>
  </w:style>
  <w:style w:type="paragraph" w:styleId="Index1">
    <w:name w:val="index 1"/>
    <w:next w:val="Normal"/>
    <w:rsid w:val="00F613A7"/>
    <w:pPr>
      <w:adjustRightInd w:val="0"/>
      <w:snapToGrid w:val="0"/>
    </w:pPr>
    <w:rPr>
      <w:rFonts w:cs="Arial"/>
      <w:kern w:val="2"/>
      <w:sz w:val="21"/>
      <w:szCs w:val="21"/>
      <w:lang w:val="en-US" w:eastAsia="zh-CN" w:bidi="ar-SA"/>
    </w:rPr>
  </w:style>
  <w:style w:type="paragraph" w:styleId="Index2">
    <w:name w:val="index 2"/>
    <w:next w:val="Normal"/>
    <w:rsid w:val="00F613A7"/>
    <w:pPr>
      <w:adjustRightInd w:val="0"/>
      <w:snapToGrid w:val="0"/>
      <w:ind w:left="284"/>
    </w:pPr>
    <w:rPr>
      <w:rFonts w:cs="Arial"/>
      <w:kern w:val="2"/>
      <w:sz w:val="21"/>
      <w:szCs w:val="21"/>
      <w:lang w:val="en-US" w:eastAsia="zh-CN" w:bidi="ar-SA"/>
    </w:rPr>
  </w:style>
  <w:style w:type="paragraph" w:styleId="Index3">
    <w:name w:val="index 3"/>
    <w:next w:val="Normal"/>
    <w:rsid w:val="00F613A7"/>
    <w:pPr>
      <w:adjustRightInd w:val="0"/>
      <w:snapToGrid w:val="0"/>
      <w:ind w:left="567"/>
    </w:pPr>
    <w:rPr>
      <w:rFonts w:cs="Arial"/>
      <w:kern w:val="2"/>
      <w:sz w:val="21"/>
      <w:szCs w:val="21"/>
      <w:lang w:val="en-US" w:eastAsia="zh-CN" w:bidi="ar-SA"/>
    </w:rPr>
  </w:style>
  <w:style w:type="paragraph" w:styleId="Index5">
    <w:name w:val="index 5"/>
    <w:basedOn w:val="Normal"/>
    <w:next w:val="Normal"/>
    <w:autoRedefine/>
    <w:semiHidden/>
    <w:rsid w:val="00446256"/>
    <w:pPr>
      <w:ind w:left="1050" w:hanging="210"/>
    </w:pPr>
    <w:rPr>
      <w:sz w:val="20"/>
      <w:szCs w:val="20"/>
    </w:rPr>
  </w:style>
  <w:style w:type="paragraph" w:styleId="Index6">
    <w:name w:val="index 6"/>
    <w:basedOn w:val="Normal"/>
    <w:next w:val="Normal"/>
    <w:autoRedefine/>
    <w:semiHidden/>
    <w:rsid w:val="00446256"/>
    <w:pPr>
      <w:ind w:left="1260" w:hanging="210"/>
    </w:pPr>
    <w:rPr>
      <w:sz w:val="20"/>
      <w:szCs w:val="20"/>
    </w:rPr>
  </w:style>
  <w:style w:type="paragraph" w:styleId="Index7">
    <w:name w:val="index 7"/>
    <w:basedOn w:val="Normal"/>
    <w:next w:val="Normal"/>
    <w:autoRedefine/>
    <w:semiHidden/>
    <w:rsid w:val="00446256"/>
    <w:pPr>
      <w:ind w:left="1470" w:hanging="210"/>
    </w:pPr>
    <w:rPr>
      <w:sz w:val="20"/>
      <w:szCs w:val="20"/>
    </w:rPr>
  </w:style>
  <w:style w:type="paragraph" w:styleId="Index8">
    <w:name w:val="index 8"/>
    <w:basedOn w:val="Normal"/>
    <w:next w:val="Normal"/>
    <w:autoRedefine/>
    <w:semiHidden/>
    <w:rsid w:val="00446256"/>
    <w:pPr>
      <w:ind w:left="1680" w:hanging="210"/>
    </w:pPr>
    <w:rPr>
      <w:sz w:val="20"/>
      <w:szCs w:val="20"/>
    </w:rPr>
  </w:style>
  <w:style w:type="paragraph" w:styleId="Index9">
    <w:name w:val="index 9"/>
    <w:basedOn w:val="Normal"/>
    <w:next w:val="Normal"/>
    <w:autoRedefine/>
    <w:semiHidden/>
    <w:rsid w:val="00446256"/>
    <w:pPr>
      <w:ind w:left="1890" w:hanging="210"/>
    </w:pPr>
    <w:rPr>
      <w:sz w:val="20"/>
      <w:szCs w:val="20"/>
    </w:rPr>
  </w:style>
  <w:style w:type="paragraph" w:styleId="TableofFigures">
    <w:name w:val="table of figures"/>
    <w:basedOn w:val="Normal"/>
    <w:next w:val="Normal"/>
    <w:semiHidden/>
    <w:rsid w:val="00A82433"/>
    <w:pPr>
      <w:spacing w:afterLines="50"/>
      <w:ind w:leftChars="300"/>
    </w:pPr>
    <w:rPr>
      <w:sz w:val="20"/>
      <w:szCs w:val="20"/>
    </w:rPr>
  </w:style>
  <w:style w:type="paragraph" w:styleId="DocumentMap">
    <w:name w:val="Document Map"/>
    <w:basedOn w:val="Normal"/>
    <w:semiHidden/>
    <w:rsid w:val="00AB5406"/>
    <w:pPr>
      <w:shd w:val="clear" w:color="auto" w:fill="000080"/>
    </w:pPr>
  </w:style>
  <w:style w:type="paragraph" w:styleId="Footer">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lang w:val="en-US" w:eastAsia="zh-CN" w:bidi="ar-SA"/>
    </w:rPr>
  </w:style>
  <w:style w:type="paragraph" w:styleId="Header">
    <w:name w:val="header"/>
    <w:basedOn w:val="Normal"/>
    <w:semiHidden/>
    <w:rsid w:val="00450A20"/>
    <w:pPr>
      <w:tabs>
        <w:tab w:val="center" w:pos="4153"/>
        <w:tab w:val="right" w:pos="8306"/>
      </w:tabs>
      <w:spacing w:before="0" w:after="0"/>
      <w:ind w:left="0"/>
      <w:jc w:val="right"/>
    </w:pPr>
    <w:rPr>
      <w:sz w:val="18"/>
      <w:szCs w:val="18"/>
    </w:rPr>
  </w:style>
  <w:style w:type="character" w:styleId="Hyperlink">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val="en-US" w:eastAsia="en-US" w:bidi="ar-SA"/>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lang w:val="en-US" w:eastAsia="zh-CN" w:bidi="ar-SA"/>
    </w:rPr>
  </w:style>
  <w:style w:type="paragraph" w:customStyle="1" w:styleId="Cover5">
    <w:name w:val="Cover 5"/>
    <w:basedOn w:val="Normal"/>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Normal"/>
    <w:rsid w:val="00F613A7"/>
    <w:pPr>
      <w:widowControl w:val="0"/>
      <w:topLinePunct w:val="0"/>
      <w:spacing w:before="0" w:after="0" w:line="240" w:lineRule="auto"/>
      <w:ind w:left="0"/>
    </w:pPr>
    <w:rPr>
      <w:rFonts w:ascii="Arial" w:eastAsia="黑体" w:hAnsi="Arial"/>
      <w:b/>
      <w:bCs/>
      <w:spacing w:val="-4"/>
      <w:sz w:val="21"/>
      <w:szCs w:val="21"/>
    </w:rPr>
  </w:style>
  <w:style w:type="numbering" w:styleId="1ai">
    <w:name w:val="Outline List 1"/>
    <w:basedOn w:val="NoList"/>
    <w:semiHidden/>
    <w:rsid w:val="005327F2"/>
    <w:pPr>
      <w:numPr>
        <w:numId w:val="16"/>
      </w:numPr>
    </w:pPr>
  </w:style>
  <w:style w:type="paragraph" w:customStyle="1" w:styleId="TableHeading">
    <w:name w:val="Table Heading"/>
    <w:basedOn w:val="Normal"/>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Normal"/>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rFonts w:cs="Times New Roman"/>
      <w:snapToGrid w:val="0"/>
      <w:lang w:val="en-US" w:eastAsia="zh-CN" w:bidi="ar-SA"/>
    </w:rPr>
  </w:style>
  <w:style w:type="paragraph" w:styleId="Macro">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lang w:val="en-US" w:eastAsia="zh-CN" w:bidi="ar-SA"/>
    </w:rPr>
  </w:style>
  <w:style w:type="paragraph" w:styleId="FootnoteText">
    <w:name w:val="footnote text"/>
    <w:basedOn w:val="Normal"/>
    <w:semiHidden/>
    <w:rsid w:val="00CB6A0F"/>
    <w:rPr>
      <w:sz w:val="18"/>
      <w:szCs w:val="18"/>
    </w:rPr>
  </w:style>
  <w:style w:type="character" w:styleId="FootnoteReference">
    <w:name w:val="footnote reference"/>
    <w:basedOn w:val="DefaultParagraphFont"/>
    <w:semiHidden/>
    <w:rsid w:val="00CB6A0F"/>
    <w:rPr>
      <w:vertAlign w:val="superscript"/>
    </w:rPr>
  </w:style>
  <w:style w:type="paragraph" w:styleId="BalloonText">
    <w:name w:val="Balloon Text"/>
    <w:basedOn w:val="Normal"/>
    <w:semiHidden/>
    <w:rsid w:val="00CB6A0F"/>
    <w:rPr>
      <w:sz w:val="18"/>
      <w:szCs w:val="18"/>
    </w:rPr>
  </w:style>
  <w:style w:type="paragraph" w:styleId="CommentText">
    <w:name w:val="annotation text"/>
    <w:basedOn w:val="Normal"/>
    <w:semiHidden/>
    <w:rsid w:val="00CB6A0F"/>
  </w:style>
  <w:style w:type="character" w:styleId="CommentReference">
    <w:name w:val="annotation reference"/>
    <w:basedOn w:val="DefaultParagraphFont"/>
    <w:semiHidden/>
    <w:rsid w:val="00CB6A0F"/>
    <w:rPr>
      <w:sz w:val="21"/>
      <w:szCs w:val="21"/>
    </w:rPr>
  </w:style>
  <w:style w:type="paragraph" w:styleId="CommentSubject">
    <w:name w:val="annotation subject"/>
    <w:basedOn w:val="CommentText"/>
    <w:next w:val="CommentText"/>
    <w:semiHidden/>
    <w:rsid w:val="00CB6A0F"/>
    <w:rPr>
      <w:b/>
      <w:bCs/>
    </w:rPr>
  </w:style>
  <w:style w:type="paragraph" w:styleId="Index4">
    <w:name w:val="index 4"/>
    <w:basedOn w:val="Normal"/>
    <w:next w:val="Normal"/>
    <w:autoRedefine/>
    <w:semiHidden/>
    <w:rsid w:val="00CB6A0F"/>
    <w:pPr>
      <w:ind w:left="1260"/>
    </w:pPr>
  </w:style>
  <w:style w:type="paragraph" w:styleId="IndexHeading">
    <w:name w:val="index heading"/>
    <w:basedOn w:val="Normal"/>
    <w:next w:val="Normal"/>
    <w:semiHidden/>
    <w:rsid w:val="00F613A7"/>
    <w:pPr>
      <w:widowControl w:val="0"/>
      <w:topLinePunct w:val="0"/>
      <w:spacing w:before="240" w:after="120" w:line="240" w:lineRule="auto"/>
      <w:ind w:left="0"/>
    </w:pPr>
    <w:rPr>
      <w:rFonts w:ascii="Book Antiqua" w:hAnsi="Book Antiqua"/>
      <w:b/>
      <w:bCs/>
      <w:iCs/>
      <w:sz w:val="26"/>
      <w:szCs w:val="26"/>
    </w:rPr>
  </w:style>
  <w:style w:type="paragraph" w:styleId="Caption">
    <w:name w:val="caption"/>
    <w:basedOn w:val="Normal"/>
    <w:next w:val="Normal"/>
    <w:semiHidden/>
    <w:qFormat/>
    <w:rsid w:val="00CB6A0F"/>
    <w:pPr>
      <w:spacing w:before="152"/>
    </w:pPr>
    <w:rPr>
      <w:rFonts w:ascii="Arial" w:eastAsia="黑体" w:hAnsi="Arial"/>
      <w:sz w:val="20"/>
      <w:szCs w:val="20"/>
    </w:rPr>
  </w:style>
  <w:style w:type="paragraph" w:styleId="EndnoteText">
    <w:name w:val="endnote text"/>
    <w:basedOn w:val="Normal"/>
    <w:semiHidden/>
    <w:rsid w:val="00CB6A0F"/>
  </w:style>
  <w:style w:type="character" w:styleId="EndnoteReference">
    <w:name w:val="endnote reference"/>
    <w:basedOn w:val="DefaultParagraphFont"/>
    <w:semiHidden/>
    <w:rsid w:val="00CB6A0F"/>
    <w:rPr>
      <w:vertAlign w:val="superscript"/>
    </w:rPr>
  </w:style>
  <w:style w:type="paragraph" w:styleId="TableofAuthorities">
    <w:name w:val="table of authorities"/>
    <w:basedOn w:val="Normal"/>
    <w:next w:val="Normal"/>
    <w:semiHidden/>
    <w:rsid w:val="00CB6A0F"/>
    <w:pPr>
      <w:ind w:left="420"/>
    </w:pPr>
  </w:style>
  <w:style w:type="paragraph" w:styleId="TOAHeading">
    <w:name w:val="toa heading"/>
    <w:basedOn w:val="Normal"/>
    <w:next w:val="Normal"/>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Variable">
    <w:name w:val="HTML Variable"/>
    <w:basedOn w:val="DefaultParagraphFont"/>
    <w:semiHidden/>
    <w:rsid w:val="00176DF9"/>
    <w:rPr>
      <w:i/>
      <w:iCs/>
    </w:rPr>
  </w:style>
  <w:style w:type="character" w:styleId="HTMLTypewriter">
    <w:name w:val="HTML Typewriter"/>
    <w:basedOn w:val="DefaultParagraphFont"/>
    <w:semiHidden/>
    <w:rsid w:val="00176DF9"/>
    <w:rPr>
      <w:rFonts w:ascii="Courier New" w:hAnsi="Courier New" w:cs="Courier New"/>
      <w:sz w:val="20"/>
      <w:szCs w:val="20"/>
    </w:rPr>
  </w:style>
  <w:style w:type="character" w:styleId="HTMLCode">
    <w:name w:val="HTML Code"/>
    <w:basedOn w:val="DefaultParagraphFont"/>
    <w:semiHidden/>
    <w:rsid w:val="00176DF9"/>
    <w:rPr>
      <w:rFonts w:ascii="Courier New" w:hAnsi="Courier New" w:cs="Courier New"/>
      <w:sz w:val="20"/>
      <w:szCs w:val="20"/>
    </w:rPr>
  </w:style>
  <w:style w:type="paragraph" w:styleId="HTMLAddress">
    <w:name w:val="HTML Address"/>
    <w:basedOn w:val="Normal"/>
    <w:semiHidden/>
    <w:rsid w:val="00176DF9"/>
    <w:rPr>
      <w:i/>
      <w:iCs/>
    </w:rPr>
  </w:style>
  <w:style w:type="character" w:styleId="HTMLDefinition">
    <w:name w:val="HTML Definition"/>
    <w:basedOn w:val="DefaultParagraphFont"/>
    <w:semiHidden/>
    <w:rsid w:val="00176DF9"/>
    <w:rPr>
      <w:i/>
      <w:iCs/>
    </w:rPr>
  </w:style>
  <w:style w:type="character" w:styleId="HTMLKeyboard">
    <w:name w:val="HTML Keyboard"/>
    <w:basedOn w:val="DefaultParagraphFont"/>
    <w:semiHidden/>
    <w:rsid w:val="00176DF9"/>
    <w:rPr>
      <w:rFonts w:ascii="Courier New" w:hAnsi="Courier New" w:cs="Courier New"/>
      <w:sz w:val="20"/>
      <w:szCs w:val="20"/>
    </w:rPr>
  </w:style>
  <w:style w:type="character" w:styleId="HTMLAcronym">
    <w:name w:val="HTML Acronym"/>
    <w:basedOn w:val="DefaultParagraphFont"/>
    <w:semiHidden/>
    <w:rsid w:val="00176DF9"/>
  </w:style>
  <w:style w:type="character" w:styleId="HTMLSample">
    <w:name w:val="HTML Sample"/>
    <w:basedOn w:val="DefaultParagraphFont"/>
    <w:semiHidden/>
    <w:rsid w:val="00176DF9"/>
    <w:rPr>
      <w:rFonts w:ascii="Courier New" w:hAnsi="Courier New" w:cs="Courier New"/>
    </w:rPr>
  </w:style>
  <w:style w:type="character" w:styleId="HTMLCite">
    <w:name w:val="HTML Cite"/>
    <w:basedOn w:val="DefaultParagraphFont"/>
    <w:semiHidden/>
    <w:rsid w:val="00176DF9"/>
    <w:rPr>
      <w:i/>
      <w:iCs/>
    </w:rPr>
  </w:style>
  <w:style w:type="paragraph" w:styleId="HTMLPreformatted">
    <w:name w:val="HTML Preformatted"/>
    <w:basedOn w:val="Normal"/>
    <w:semiHidden/>
    <w:rsid w:val="00176DF9"/>
    <w:rPr>
      <w:rFonts w:ascii="Courier New" w:hAnsi="Courier New" w:cs="Courier New"/>
      <w:sz w:val="20"/>
      <w:szCs w:val="20"/>
    </w:rPr>
  </w:style>
  <w:style w:type="table" w:styleId="TableWeb1">
    <w:name w:val="Table Web 1"/>
    <w:basedOn w:val="TableNormal"/>
    <w:semiHidden/>
    <w:rsid w:val="00176DF9"/>
    <w:pPr>
      <w:adjustRightInd w:val="0"/>
      <w:snapToGrid w:val="0"/>
      <w:spacing w:before="160" w:after="160" w:line="240" w:lineRule="atLeast"/>
      <w:ind w:left="1701"/>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6DF9"/>
    <w:pPr>
      <w:adjustRightInd w:val="0"/>
      <w:snapToGrid w:val="0"/>
      <w:spacing w:before="160" w:after="160" w:line="240" w:lineRule="atLeast"/>
      <w:ind w:left="1701"/>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6DF9"/>
    <w:pPr>
      <w:adjustRightInd w:val="0"/>
      <w:snapToGrid w:val="0"/>
      <w:spacing w:before="160" w:after="160" w:line="240" w:lineRule="atLeast"/>
      <w:ind w:left="1701"/>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semiHidden/>
    <w:rsid w:val="00176DF9"/>
    <w:pPr>
      <w:adjustRightInd w:val="0"/>
      <w:snapToGrid w:val="0"/>
      <w:spacing w:before="160" w:after="160" w:line="240" w:lineRule="atLeast"/>
      <w:ind w:left="1701"/>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orful1">
    <w:name w:val="Table Colorful 1"/>
    <w:basedOn w:val="TableNormal"/>
    <w:semiHidden/>
    <w:rsid w:val="00176DF9"/>
    <w:pPr>
      <w:adjustRightInd w:val="0"/>
      <w:snapToGrid w:val="0"/>
      <w:spacing w:before="160" w:after="160" w:line="240" w:lineRule="atLeast"/>
      <w:ind w:left="1701"/>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6DF9"/>
    <w:pPr>
      <w:adjustRightInd w:val="0"/>
      <w:snapToGrid w:val="0"/>
      <w:spacing w:before="160" w:after="160" w:line="240" w:lineRule="atLeast"/>
      <w:ind w:left="1701"/>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6DF9"/>
    <w:pPr>
      <w:adjustRightInd w:val="0"/>
      <w:snapToGrid w:val="0"/>
      <w:spacing w:before="160" w:after="160" w:line="240" w:lineRule="atLeast"/>
      <w:ind w:left="1701"/>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Salutation">
    <w:name w:val="Salutation"/>
    <w:basedOn w:val="Normal"/>
    <w:next w:val="Normal"/>
    <w:semiHidden/>
    <w:rsid w:val="00176DF9"/>
  </w:style>
  <w:style w:type="paragraph" w:styleId="PlainText">
    <w:name w:val="Plain Text"/>
    <w:basedOn w:val="Normal"/>
    <w:semiHidden/>
    <w:rsid w:val="00176DF9"/>
    <w:rPr>
      <w:rFonts w:ascii="宋体" w:hAnsi="Courier New" w:cs="Courier New"/>
    </w:rPr>
  </w:style>
  <w:style w:type="table" w:styleId="TableElegant">
    <w:name w:val="Table Elegant"/>
    <w:basedOn w:val="TableNormal"/>
    <w:semiHidden/>
    <w:rsid w:val="00176DF9"/>
    <w:pPr>
      <w:adjustRightInd w:val="0"/>
      <w:snapToGrid w:val="0"/>
      <w:spacing w:before="160" w:after="160" w:line="240" w:lineRule="atLeast"/>
      <w:ind w:left="1701"/>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semiHidden/>
    <w:rsid w:val="00176DF9"/>
  </w:style>
  <w:style w:type="paragraph" w:styleId="Subtitle">
    <w:name w:val="Subtitle"/>
    <w:basedOn w:val="Normal"/>
    <w:semiHidden/>
    <w:qFormat/>
    <w:rsid w:val="00176DF9"/>
    <w:pPr>
      <w:spacing w:before="240" w:after="60" w:line="312" w:lineRule="atLeast"/>
      <w:jc w:val="center"/>
      <w:outlineLvl w:val="1"/>
    </w:pPr>
    <w:rPr>
      <w:rFonts w:ascii="Arial" w:hAnsi="Arial"/>
      <w:b/>
      <w:bCs/>
      <w:kern w:val="28"/>
      <w:sz w:val="32"/>
      <w:szCs w:val="32"/>
    </w:rPr>
  </w:style>
  <w:style w:type="table" w:styleId="TableClassic1">
    <w:name w:val="Table Classic 1"/>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6DF9"/>
    <w:pPr>
      <w:adjustRightInd w:val="0"/>
      <w:snapToGrid w:val="0"/>
      <w:spacing w:before="160" w:after="160" w:line="240" w:lineRule="atLeast"/>
      <w:ind w:left="1701"/>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EnvelopeReturn">
    <w:name w:val="envelope return"/>
    <w:basedOn w:val="Normal"/>
    <w:semiHidden/>
    <w:rsid w:val="00176DF9"/>
    <w:rPr>
      <w:rFonts w:ascii="Arial" w:hAnsi="Arial"/>
    </w:rPr>
  </w:style>
  <w:style w:type="table" w:styleId="TableSimple1">
    <w:name w:val="Table Simple 1"/>
    <w:basedOn w:val="TableNormal"/>
    <w:semiHidden/>
    <w:rsid w:val="00176DF9"/>
    <w:pPr>
      <w:adjustRightInd w:val="0"/>
      <w:snapToGrid w:val="0"/>
      <w:spacing w:before="160" w:after="160" w:line="240" w:lineRule="atLeast"/>
      <w:ind w:left="1701"/>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Closing">
    <w:name w:val="Closing"/>
    <w:basedOn w:val="Normal"/>
    <w:semiHidden/>
    <w:rsid w:val="00176DF9"/>
    <w:pPr>
      <w:ind w:leftChars="2100"/>
    </w:pPr>
  </w:style>
  <w:style w:type="table" w:styleId="TableSubtle1">
    <w:name w:val="Table Subtle 1"/>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6DF9"/>
    <w:pPr>
      <w:adjustRightInd w:val="0"/>
      <w:snapToGrid w:val="0"/>
      <w:spacing w:before="160" w:after="160" w:line="240" w:lineRule="atLeast"/>
      <w:ind w:left="1701"/>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6DF9"/>
    <w:pPr>
      <w:adjustRightInd w:val="0"/>
      <w:snapToGrid w:val="0"/>
      <w:spacing w:before="160" w:after="160" w:line="240" w:lineRule="atLeast"/>
      <w:ind w:left="1701"/>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
    <w:name w:val="List"/>
    <w:basedOn w:val="Normal"/>
    <w:semiHidden/>
    <w:rsid w:val="00176DF9"/>
    <w:pPr>
      <w:ind w:left="200" w:hangingChars="200"/>
    </w:pPr>
  </w:style>
  <w:style w:type="paragraph" w:styleId="List2">
    <w:name w:val="List 2"/>
    <w:basedOn w:val="Normal"/>
    <w:semiHidden/>
    <w:rsid w:val="00176DF9"/>
    <w:pPr>
      <w:ind w:leftChars="200" w:hangingChars="200"/>
    </w:pPr>
  </w:style>
  <w:style w:type="paragraph" w:styleId="List3">
    <w:name w:val="List 3"/>
    <w:basedOn w:val="Normal"/>
    <w:semiHidden/>
    <w:rsid w:val="00176DF9"/>
    <w:pPr>
      <w:ind w:leftChars="400" w:hangingChars="200"/>
    </w:pPr>
  </w:style>
  <w:style w:type="paragraph" w:styleId="List4">
    <w:name w:val="List 4"/>
    <w:basedOn w:val="Normal"/>
    <w:semiHidden/>
    <w:rsid w:val="00176DF9"/>
    <w:pPr>
      <w:ind w:leftChars="600" w:hangingChars="200"/>
    </w:pPr>
  </w:style>
  <w:style w:type="paragraph" w:styleId="List5">
    <w:name w:val="List 5"/>
    <w:basedOn w:val="Normal"/>
    <w:semiHidden/>
    <w:rsid w:val="00176DF9"/>
    <w:pPr>
      <w:ind w:leftChars="800" w:hangingChars="200"/>
    </w:pPr>
  </w:style>
  <w:style w:type="paragraph" w:styleId="ListNumber">
    <w:name w:val="List Number"/>
    <w:basedOn w:val="Normal"/>
    <w:semiHidden/>
    <w:rsid w:val="00176DF9"/>
    <w:pPr>
      <w:numPr>
        <w:numId w:val="4"/>
      </w:numPr>
    </w:pPr>
  </w:style>
  <w:style w:type="paragraph" w:styleId="ListNumber2">
    <w:name w:val="List Number 2"/>
    <w:basedOn w:val="Normal"/>
    <w:semiHidden/>
    <w:rsid w:val="00176DF9"/>
    <w:pPr>
      <w:numPr>
        <w:numId w:val="5"/>
      </w:numPr>
    </w:pPr>
  </w:style>
  <w:style w:type="paragraph" w:styleId="ListNumber3">
    <w:name w:val="List Number 3"/>
    <w:basedOn w:val="Normal"/>
    <w:semiHidden/>
    <w:rsid w:val="00176DF9"/>
    <w:pPr>
      <w:numPr>
        <w:numId w:val="6"/>
      </w:numPr>
    </w:pPr>
  </w:style>
  <w:style w:type="paragraph" w:styleId="ListNumber4">
    <w:name w:val="List Number 4"/>
    <w:basedOn w:val="Normal"/>
    <w:semiHidden/>
    <w:rsid w:val="00176DF9"/>
    <w:pPr>
      <w:numPr>
        <w:numId w:val="7"/>
      </w:numPr>
    </w:pPr>
  </w:style>
  <w:style w:type="paragraph" w:styleId="ListNumber5">
    <w:name w:val="List Number 5"/>
    <w:basedOn w:val="Normal"/>
    <w:semiHidden/>
    <w:rsid w:val="00176DF9"/>
    <w:pPr>
      <w:numPr>
        <w:numId w:val="8"/>
      </w:numPr>
    </w:pPr>
  </w:style>
  <w:style w:type="paragraph" w:styleId="ListContinue">
    <w:name w:val="List Continue"/>
    <w:basedOn w:val="Normal"/>
    <w:semiHidden/>
    <w:rsid w:val="00176DF9"/>
    <w:pPr>
      <w:spacing w:after="120"/>
      <w:ind w:leftChars="200"/>
    </w:pPr>
  </w:style>
  <w:style w:type="paragraph" w:styleId="ListContinue2">
    <w:name w:val="List Continue 2"/>
    <w:basedOn w:val="Normal"/>
    <w:semiHidden/>
    <w:rsid w:val="00176DF9"/>
    <w:pPr>
      <w:spacing w:after="120"/>
      <w:ind w:leftChars="400"/>
    </w:pPr>
  </w:style>
  <w:style w:type="paragraph" w:styleId="ListContinue3">
    <w:name w:val="List Continue 3"/>
    <w:basedOn w:val="Normal"/>
    <w:semiHidden/>
    <w:rsid w:val="00176DF9"/>
    <w:pPr>
      <w:spacing w:after="120"/>
      <w:ind w:leftChars="600"/>
    </w:pPr>
  </w:style>
  <w:style w:type="paragraph" w:styleId="ListContinue4">
    <w:name w:val="List Continue 4"/>
    <w:basedOn w:val="Normal"/>
    <w:semiHidden/>
    <w:rsid w:val="00176DF9"/>
    <w:pPr>
      <w:spacing w:after="120"/>
      <w:ind w:leftChars="800"/>
    </w:pPr>
  </w:style>
  <w:style w:type="paragraph" w:styleId="ListContinue5">
    <w:name w:val="List Continue 5"/>
    <w:basedOn w:val="Normal"/>
    <w:semiHidden/>
    <w:rsid w:val="00176DF9"/>
    <w:pPr>
      <w:spacing w:after="120"/>
      <w:ind w:leftChars="1000"/>
    </w:pPr>
  </w:style>
  <w:style w:type="paragraph" w:styleId="ListBullet">
    <w:name w:val="List Bullet"/>
    <w:basedOn w:val="Normal"/>
    <w:autoRedefine/>
    <w:semiHidden/>
    <w:rsid w:val="00176DF9"/>
    <w:pPr>
      <w:numPr>
        <w:numId w:val="9"/>
      </w:numPr>
    </w:pPr>
  </w:style>
  <w:style w:type="paragraph" w:styleId="ListBullet2">
    <w:name w:val="List Bullet 2"/>
    <w:basedOn w:val="Normal"/>
    <w:autoRedefine/>
    <w:semiHidden/>
    <w:rsid w:val="00176DF9"/>
    <w:pPr>
      <w:numPr>
        <w:numId w:val="10"/>
      </w:numPr>
    </w:pPr>
  </w:style>
  <w:style w:type="paragraph" w:styleId="ListBullet3">
    <w:name w:val="List Bullet 3"/>
    <w:basedOn w:val="Normal"/>
    <w:autoRedefine/>
    <w:semiHidden/>
    <w:rsid w:val="00176DF9"/>
    <w:pPr>
      <w:numPr>
        <w:numId w:val="11"/>
      </w:numPr>
    </w:pPr>
  </w:style>
  <w:style w:type="paragraph" w:styleId="ListBullet4">
    <w:name w:val="List Bullet 4"/>
    <w:basedOn w:val="Normal"/>
    <w:autoRedefine/>
    <w:semiHidden/>
    <w:rsid w:val="00176DF9"/>
    <w:pPr>
      <w:numPr>
        <w:numId w:val="12"/>
      </w:numPr>
    </w:pPr>
  </w:style>
  <w:style w:type="paragraph" w:styleId="ListBullet5">
    <w:name w:val="List Bullet 5"/>
    <w:basedOn w:val="Normal"/>
    <w:autoRedefine/>
    <w:semiHidden/>
    <w:rsid w:val="00176DF9"/>
    <w:pPr>
      <w:numPr>
        <w:numId w:val="13"/>
      </w:numPr>
    </w:pPr>
  </w:style>
  <w:style w:type="table" w:styleId="TableList1">
    <w:name w:val="Table List 1"/>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6DF9"/>
    <w:pPr>
      <w:adjustRightInd w:val="0"/>
      <w:snapToGrid w:val="0"/>
      <w:spacing w:before="160" w:after="160" w:line="240" w:lineRule="atLeast"/>
      <w:ind w:left="1701"/>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TableList7">
    <w:name w:val="Table List 7"/>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TableContemporary">
    <w:name w:val="Table Contemporary"/>
    <w:basedOn w:val="TableNormal"/>
    <w:semiHidden/>
    <w:rsid w:val="00176DF9"/>
    <w:pPr>
      <w:adjustRightInd w:val="0"/>
      <w:snapToGrid w:val="0"/>
      <w:spacing w:before="160" w:after="160" w:line="240" w:lineRule="atLeast"/>
      <w:ind w:left="1701"/>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semiHidden/>
    <w:rsid w:val="00176DF9"/>
    <w:rPr>
      <w:rFonts w:cs="Times New Roman"/>
    </w:rPr>
  </w:style>
  <w:style w:type="paragraph" w:styleId="Signature">
    <w:name w:val="Signature"/>
    <w:basedOn w:val="Normal"/>
    <w:semiHidden/>
    <w:rsid w:val="00176DF9"/>
    <w:pPr>
      <w:ind w:leftChars="2100"/>
    </w:pPr>
  </w:style>
  <w:style w:type="character" w:styleId="Emphasis">
    <w:name w:val="Emphasis"/>
    <w:basedOn w:val="DefaultParagraphFont"/>
    <w:semiHidden/>
    <w:qFormat/>
    <w:rsid w:val="00176DF9"/>
    <w:rPr>
      <w:i/>
      <w:iCs/>
    </w:rPr>
  </w:style>
  <w:style w:type="paragraph" w:styleId="Date">
    <w:name w:val="Date"/>
    <w:basedOn w:val="Normal"/>
    <w:next w:val="Normal"/>
    <w:semiHidden/>
    <w:rsid w:val="00176DF9"/>
    <w:pPr>
      <w:ind w:leftChars="2500"/>
    </w:pPr>
  </w:style>
  <w:style w:type="table" w:styleId="TableColumns1">
    <w:name w:val="Table Columns 1"/>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6DF9"/>
    <w:pPr>
      <w:adjustRightInd w:val="0"/>
      <w:snapToGrid w:val="0"/>
      <w:spacing w:before="160" w:after="160" w:line="240" w:lineRule="atLeast"/>
      <w:ind w:left="1701"/>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6DF9"/>
    <w:pPr>
      <w:adjustRightInd w:val="0"/>
      <w:snapToGrid w:val="0"/>
      <w:spacing w:before="160" w:after="160" w:line="240" w:lineRule="atLeast"/>
      <w:ind w:left="1701"/>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6DF9"/>
    <w:pPr>
      <w:adjustRightInd w:val="0"/>
      <w:snapToGrid w:val="0"/>
      <w:spacing w:before="160" w:after="160" w:line="240" w:lineRule="atLeast"/>
      <w:ind w:left="1701"/>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2">
    <w:name w:val="Table Grid 2"/>
    <w:basedOn w:val="TableNormal"/>
    <w:semiHidden/>
    <w:rsid w:val="00176DF9"/>
    <w:pPr>
      <w:adjustRightInd w:val="0"/>
      <w:snapToGrid w:val="0"/>
      <w:spacing w:before="160" w:after="160" w:line="240" w:lineRule="atLeast"/>
      <w:ind w:left="1701"/>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semiHidden/>
    <w:rsid w:val="00176DF9"/>
    <w:pPr>
      <w:adjustRightInd w:val="0"/>
      <w:snapToGrid w:val="0"/>
      <w:spacing w:before="160" w:after="160" w:line="240" w:lineRule="atLeast"/>
      <w:ind w:left="1701"/>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6DF9"/>
    <w:pPr>
      <w:adjustRightInd w:val="0"/>
      <w:snapToGrid w:val="0"/>
      <w:spacing w:before="160" w:after="160" w:line="240" w:lineRule="atLeast"/>
      <w:ind w:left="1701"/>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6DF9"/>
    <w:pPr>
      <w:adjustRightInd w:val="0"/>
      <w:snapToGrid w:val="0"/>
      <w:spacing w:before="160" w:after="160" w:line="240" w:lineRule="atLeast"/>
      <w:ind w:left="1701"/>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lockText">
    <w:name w:val="Block Text"/>
    <w:basedOn w:val="Normal"/>
    <w:semiHidden/>
    <w:rsid w:val="00176DF9"/>
    <w:pPr>
      <w:spacing w:after="120"/>
      <w:ind w:leftChars="700" w:rightChars="700"/>
    </w:pPr>
  </w:style>
  <w:style w:type="numbering" w:styleId="ArticleSection">
    <w:name w:val="Outline List 3"/>
    <w:basedOn w:val="NoList"/>
    <w:semiHidden/>
    <w:rsid w:val="00176DF9"/>
    <w:pPr>
      <w:numPr>
        <w:numId w:val="14"/>
      </w:numPr>
    </w:pPr>
  </w:style>
  <w:style w:type="paragraph" w:styleId="EnvelopeAddress">
    <w:name w:val="envelope address"/>
    <w:basedOn w:val="Normal"/>
    <w:semiHidden/>
    <w:rsid w:val="00176DF9"/>
    <w:pPr>
      <w:framePr w:w="7920" w:h="1980" w:hRule="exact" w:hSpace="180" w:wrap="auto" w:hAnchor="page" w:xAlign="center" w:yAlign="bottom"/>
      <w:ind w:leftChars="1400"/>
    </w:pPr>
    <w:rPr>
      <w:rFonts w:ascii="Arial" w:hAnsi="Arial"/>
    </w:rPr>
  </w:style>
  <w:style w:type="paragraph" w:styleId="MessageHeader">
    <w:name w:val="Message Header"/>
    <w:basedOn w:val="Normal"/>
    <w:semiHidden/>
    <w:rsid w:val="00176DF9"/>
    <w:pPr>
      <w:pBdr>
        <w:top w:val="single" w:sz="6" w:space="1" w:color="auto"/>
        <w:left w:val="single" w:sz="6" w:space="1" w:color="auto"/>
        <w:bottom w:val="single" w:sz="6" w:space="1" w:color="auto"/>
        <w:right w:val="single" w:sz="6" w:space="1" w:color="auto"/>
      </w:pBdr>
      <w:shd w:val="pct20" w:color="auto" w:fill="auto"/>
      <w:ind w:leftChars="500" w:hangingChars="500"/>
    </w:pPr>
    <w:rPr>
      <w:rFonts w:ascii="Arial" w:hAnsi="Arial"/>
    </w:rPr>
  </w:style>
  <w:style w:type="character" w:styleId="LineNumber">
    <w:name w:val="line number"/>
    <w:basedOn w:val="DefaultParagraphFont"/>
    <w:semiHidden/>
    <w:rsid w:val="00176DF9"/>
  </w:style>
  <w:style w:type="character" w:styleId="Strong">
    <w:name w:val="Strong"/>
    <w:basedOn w:val="DefaultParagraphFont"/>
    <w:semiHidden/>
    <w:qFormat/>
    <w:rsid w:val="00176DF9"/>
    <w:rPr>
      <w:b/>
      <w:bCs/>
    </w:rPr>
  </w:style>
  <w:style w:type="character" w:styleId="PageNumber">
    <w:name w:val="page number"/>
    <w:basedOn w:val="DefaultParagraphFont"/>
    <w:semiHidden/>
    <w:rsid w:val="00176DF9"/>
  </w:style>
  <w:style w:type="character" w:styleId="FollowedHyperlink">
    <w:name w:val="FollowedHyperlink"/>
    <w:rsid w:val="004D5212"/>
    <w:rPr>
      <w:color w:val="800080"/>
      <w:u w:val="none"/>
    </w:rPr>
  </w:style>
  <w:style w:type="paragraph" w:styleId="BodyText">
    <w:name w:val="Body Text"/>
    <w:basedOn w:val="Normal"/>
    <w:semiHidden/>
    <w:rsid w:val="00176DF9"/>
    <w:pPr>
      <w:spacing w:after="120"/>
    </w:pPr>
  </w:style>
  <w:style w:type="paragraph" w:styleId="BodyTextFirstIndent">
    <w:name w:val="Body Text First Indent"/>
    <w:basedOn w:val="BodyText"/>
    <w:semiHidden/>
    <w:rsid w:val="00176DF9"/>
    <w:pPr>
      <w:ind w:firstLineChars="100"/>
    </w:pPr>
  </w:style>
  <w:style w:type="paragraph" w:styleId="BodyTextIndent">
    <w:name w:val="Body Text Indent"/>
    <w:basedOn w:val="Normal"/>
    <w:semiHidden/>
    <w:rsid w:val="00176DF9"/>
    <w:pPr>
      <w:spacing w:after="120"/>
      <w:ind w:leftChars="200"/>
    </w:pPr>
  </w:style>
  <w:style w:type="paragraph" w:styleId="BodyTextFirstIndent2">
    <w:name w:val="Body Text First Indent 2"/>
    <w:basedOn w:val="BodyTextIndent"/>
    <w:semiHidden/>
    <w:rsid w:val="00176DF9"/>
    <w:pPr>
      <w:ind w:firstLineChars="200"/>
    </w:pPr>
  </w:style>
  <w:style w:type="paragraph" w:styleId="NormalIndent">
    <w:name w:val="Normal Indent"/>
    <w:basedOn w:val="Normal"/>
    <w:semiHidden/>
    <w:rsid w:val="00176DF9"/>
    <w:pPr>
      <w:ind w:firstLineChars="200"/>
    </w:pPr>
  </w:style>
  <w:style w:type="paragraph" w:styleId="BodyText2">
    <w:name w:val="Body Text 2"/>
    <w:basedOn w:val="Normal"/>
    <w:semiHidden/>
    <w:rsid w:val="00176DF9"/>
    <w:pPr>
      <w:spacing w:after="120" w:line="480" w:lineRule="auto"/>
    </w:pPr>
  </w:style>
  <w:style w:type="paragraph" w:styleId="BodyText3">
    <w:name w:val="Body Text 3"/>
    <w:basedOn w:val="Normal"/>
    <w:semiHidden/>
    <w:rsid w:val="00176DF9"/>
    <w:pPr>
      <w:spacing w:after="120"/>
    </w:pPr>
    <w:rPr>
      <w:sz w:val="16"/>
      <w:szCs w:val="16"/>
    </w:rPr>
  </w:style>
  <w:style w:type="paragraph" w:styleId="BodyTextIndent2">
    <w:name w:val="Body Text Indent 2"/>
    <w:basedOn w:val="Normal"/>
    <w:semiHidden/>
    <w:rsid w:val="00176DF9"/>
    <w:pPr>
      <w:spacing w:after="120" w:line="480" w:lineRule="auto"/>
      <w:ind w:leftChars="200"/>
    </w:pPr>
  </w:style>
  <w:style w:type="paragraph" w:styleId="BodyTextIndent3">
    <w:name w:val="Body Text Indent 3"/>
    <w:basedOn w:val="Normal"/>
    <w:semiHidden/>
    <w:rsid w:val="00176DF9"/>
    <w:pPr>
      <w:spacing w:after="120"/>
      <w:ind w:leftChars="200"/>
    </w:pPr>
    <w:rPr>
      <w:sz w:val="16"/>
      <w:szCs w:val="16"/>
    </w:rPr>
  </w:style>
  <w:style w:type="paragraph" w:styleId="NoteHeading">
    <w:name w:val="Note Heading"/>
    <w:basedOn w:val="Normal"/>
    <w:next w:val="Normal"/>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lang w:val="en-US" w:eastAsia="zh-CN" w:bidi="ar-SA"/>
    </w:rPr>
  </w:style>
  <w:style w:type="paragraph" w:customStyle="1" w:styleId="End">
    <w:name w:val="End"/>
    <w:basedOn w:val="Normal"/>
    <w:rsid w:val="00B937D5"/>
    <w:pPr>
      <w:spacing w:after="400"/>
    </w:pPr>
    <w:rPr>
      <w:b/>
    </w:rPr>
  </w:style>
  <w:style w:type="paragraph" w:customStyle="1" w:styleId="1">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lang w:val="en-US" w:eastAsia="zh-CN" w:bidi="ar-SA"/>
    </w:rPr>
  </w:style>
  <w:style w:type="paragraph" w:customStyle="1" w:styleId="NotesTextListinTableSub">
    <w:name w:val="Notes Text List in Table Sub"/>
    <w:rsid w:val="002839CF"/>
    <w:pPr>
      <w:numPr>
        <w:ilvl w:val="7"/>
        <w:numId w:val="20"/>
      </w:numPr>
      <w:spacing w:before="40" w:after="80" w:line="200" w:lineRule="atLeast"/>
    </w:pPr>
    <w:rPr>
      <w:rFonts w:eastAsia="楷体_GB2312" w:cs="Arial"/>
      <w:noProof/>
      <w:sz w:val="18"/>
      <w:szCs w:val="18"/>
      <w:lang w:val="en-US" w:eastAsia="zh-CN" w:bidi="ar-SA"/>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Sub">
    <w:name w:val="Notes Text List Sub"/>
    <w:basedOn w:val="CAUTIONTextList"/>
    <w:rsid w:val="00D17235"/>
    <w:pPr>
      <w:keepNext w:val="0"/>
      <w:numPr>
        <w:ilvl w:val="1"/>
        <w:numId w:val="3"/>
      </w:numPr>
      <w:pBdr>
        <w:bottom w:val="none" w:sz="0" w:space="0" w:color="auto"/>
      </w:pBdr>
      <w:spacing w:before="40" w:line="200" w:lineRule="atLeast"/>
    </w:pPr>
    <w:rPr>
      <w:sz w:val="18"/>
      <w:szCs w:val="18"/>
    </w:rPr>
  </w:style>
  <w:style w:type="paragraph" w:customStyle="1" w:styleId="NotesTextListThird">
    <w:name w:val="Notes Text List Third"/>
    <w:basedOn w:val="CAUTIONTextList"/>
    <w:rsid w:val="00D17235"/>
    <w:pPr>
      <w:keepNext w:val="0"/>
      <w:numPr>
        <w:ilvl w:val="2"/>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ListTextSub">
    <w:name w:val="Notes Text List Text Sub"/>
    <w:basedOn w:val="CAUTIONText"/>
    <w:rsid w:val="005263EC"/>
    <w:pPr>
      <w:pBdr>
        <w:bottom w:val="none" w:sz="0" w:space="0" w:color="auto"/>
      </w:pBdr>
      <w:spacing w:before="40" w:line="200" w:lineRule="atLeast"/>
      <w:ind w:left="2643"/>
    </w:pPr>
    <w:rPr>
      <w:sz w:val="18"/>
      <w:szCs w:val="18"/>
    </w:rPr>
  </w:style>
  <w:style w:type="paragraph" w:customStyle="1" w:styleId="NotesTextListTextThird">
    <w:name w:val="Notes Text List Text Third"/>
    <w:basedOn w:val="CAUTIONText"/>
    <w:rsid w:val="005263EC"/>
    <w:pPr>
      <w:pBdr>
        <w:bottom w:val="none" w:sz="0" w:space="0" w:color="auto"/>
      </w:pBdr>
      <w:spacing w:before="40" w:line="200" w:lineRule="atLeast"/>
      <w:ind w:left="2927"/>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lang w:val="en-US" w:eastAsia="zh-CN" w:bidi="ar-SA"/>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lang w:val="en-US" w:eastAsia="zh-CN" w:bidi="ar-SA"/>
    </w:rPr>
  </w:style>
  <w:style w:type="paragraph" w:customStyle="1" w:styleId="NotesTextListTextTDSub">
    <w:name w:val="Notes Text List Text TD Sub"/>
    <w:rsid w:val="005263EB"/>
    <w:pPr>
      <w:snapToGrid w:val="0"/>
      <w:spacing w:line="240" w:lineRule="atLeast"/>
      <w:ind w:left="2643"/>
    </w:pPr>
    <w:rPr>
      <w:rFonts w:ascii="Courier New" w:hAnsi="Courier New" w:cs="Courier New"/>
      <w:snapToGrid w:val="0"/>
      <w:spacing w:val="-1"/>
      <w:sz w:val="16"/>
      <w:szCs w:val="16"/>
      <w:lang w:val="en-US" w:eastAsia="zh-CN" w:bidi="ar-SA"/>
    </w:rPr>
  </w:style>
  <w:style w:type="paragraph" w:customStyle="1" w:styleId="NotesTextListTextTDThird">
    <w:name w:val="Notes Text List Text TD Third"/>
    <w:rsid w:val="005263EB"/>
    <w:pPr>
      <w:snapToGrid w:val="0"/>
      <w:spacing w:line="240" w:lineRule="atLeast"/>
      <w:ind w:left="2927"/>
    </w:pPr>
    <w:rPr>
      <w:rFonts w:ascii="Courier New" w:hAnsi="Courier New" w:cs="Courier New"/>
      <w:snapToGrid w:val="0"/>
      <w:spacing w:val="-1"/>
      <w:sz w:val="16"/>
      <w:szCs w:val="16"/>
      <w:lang w:val="en-US" w:eastAsia="zh-CN" w:bidi="ar-SA"/>
    </w:rPr>
  </w:style>
  <w:style w:type="paragraph" w:customStyle="1" w:styleId="CAUTIONTextListTextTD">
    <w:name w:val="CAUTION Text List Text TD"/>
    <w:basedOn w:val="CAUTIONText"/>
    <w:rsid w:val="001749B3"/>
    <w:pPr>
      <w:adjustRightInd w:val="0"/>
      <w:snapToGrid w:val="0"/>
      <w:spacing w:line="240" w:lineRule="atLeast"/>
      <w:ind w:firstLine="284" w:firstLineChars="180"/>
    </w:pPr>
    <w:rPr>
      <w:rFonts w:ascii="Courier New" w:hAnsi="Courier New" w:cs="Courier New"/>
      <w:snapToGrid w:val="0"/>
      <w:spacing w:val="-1"/>
      <w:sz w:val="16"/>
      <w:szCs w:val="16"/>
      <w:lang w:val="en-US" w:eastAsia="zh-CN" w:bidi="ar-SA"/>
    </w:rPr>
  </w:style>
  <w:style w:type="paragraph" w:customStyle="1" w:styleId="CAUTIONTextTD">
    <w:name w:val="CAUTION Text TD"/>
    <w:basedOn w:val="CAUTIONText"/>
    <w:rsid w:val="001749B4"/>
    <w:pPr>
      <w:adjustRightInd w:val="0"/>
      <w:snapToGrid w:val="0"/>
      <w:spacing w:line="240" w:lineRule="atLeast"/>
      <w:ind w:left="1701"/>
    </w:pPr>
    <w:rPr>
      <w:rFonts w:ascii="Courier New" w:hAnsi="Courier New" w:cs="Courier New"/>
      <w:snapToGrid w:val="0"/>
      <w:spacing w:val="-1"/>
      <w:sz w:val="16"/>
      <w:szCs w:val="16"/>
      <w:lang w:val="en-US" w:eastAsia="zh-CN" w:bidi="ar-SA"/>
    </w:rPr>
  </w:style>
  <w:style w:type="paragraph" w:customStyle="1" w:styleId="CAUTIONTextStep">
    <w:name w:val="CAUTION Text Step"/>
    <w:basedOn w:val="CAUTIONText"/>
    <w:rsid w:val="001749B2"/>
    <w:pPr>
      <w:keepNext/>
      <w:numPr>
        <w:ilvl w:val="5"/>
        <w:numId w:val="31"/>
      </w:numPr>
    </w:pPr>
  </w:style>
  <w:style w:type="paragraph" w:customStyle="1" w:styleId="CAUTIONTextListText">
    <w:name w:val="CAUTION Text List Text"/>
    <w:basedOn w:val="CAUTIONText"/>
    <w:rsid w:val="001749B2"/>
    <w:pPr>
      <w:ind w:firstLine="283" w:firstLineChars="135"/>
    </w:pPr>
  </w:style>
  <w:style w:type="paragraph" w:customStyle="1" w:styleId="NotesTextStepinTable">
    <w:name w:val="Notes Text Step in Table"/>
    <w:rsid w:val="00D17237"/>
    <w:pPr>
      <w:numPr>
        <w:ilvl w:val="7"/>
        <w:numId w:val="31"/>
      </w:numPr>
      <w:pBdr>
        <w:bottom w:val="none" w:sz="0" w:space="0" w:color="auto"/>
      </w:pBdr>
      <w:spacing w:before="40" w:after="80" w:line="200" w:lineRule="atLeast"/>
    </w:pPr>
    <w:rPr>
      <w:rFonts w:ascii="Times New Roman" w:eastAsia="楷体_GB2312" w:hAnsi="Times New Roman" w:cs="Arial"/>
      <w:iCs/>
      <w:kern w:val="2"/>
      <w:sz w:val="18"/>
      <w:szCs w:val="18"/>
      <w:lang w:val="en-US" w:eastAsia="zh-CN" w:bidi="ar-SA"/>
    </w:rPr>
  </w:style>
  <w:style w:type="paragraph" w:customStyle="1" w:styleId="NotesTextStepinTableSub">
    <w:name w:val="Notes Text Step in Table Sub"/>
    <w:basedOn w:val="NotesTextStepinTable"/>
    <w:rsid w:val="00D17238"/>
    <w:pPr>
      <w:numPr>
        <w:ilvl w:val="3"/>
        <w:numId w:val="38"/>
      </w:numPr>
      <w:pBdr>
        <w:bottom w:val="none" w:sz="0" w:space="0" w:color="auto"/>
      </w:pBdr>
      <w:spacing w:before="40" w:after="80" w:line="200" w:lineRule="atLeast"/>
    </w:pPr>
    <w:rPr>
      <w:rFonts w:ascii="Times New Roman" w:eastAsia="楷体_GB2312" w:hAnsi="Times New Roman" w:cs="Arial"/>
      <w:noProof/>
      <w:sz w:val="18"/>
      <w:szCs w:val="18"/>
      <w:lang w:val="en-US" w:eastAsia="zh-CN" w:bidi="ar-SA"/>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ascii="Times New Roman" w:eastAsia="楷体_GB2312" w:hAnsi="Times New Roman" w:cs="Arial"/>
      <w:iCs/>
      <w:kern w:val="2"/>
      <w:sz w:val="18"/>
      <w:szCs w:val="18"/>
      <w:lang w:val="en-US" w:eastAsia="zh-CN" w:bidi="ar-SA"/>
    </w:rPr>
  </w:style>
  <w:style w:type="paragraph" w:customStyle="1" w:styleId="NotesTextListTextinTableSub">
    <w:name w:val="Notes Text List Text in Table Sub"/>
    <w:rsid w:val="00340EDE"/>
    <w:pPr>
      <w:widowControl w:val="0"/>
      <w:adjustRightInd w:val="0"/>
      <w:snapToGrid w:val="0"/>
      <w:spacing w:before="40" w:after="80" w:line="240" w:lineRule="atLeast"/>
      <w:ind w:left="738"/>
    </w:pPr>
    <w:rPr>
      <w:rFonts w:ascii="Times New Roman" w:eastAsia="楷体_GB2312" w:hAnsi="Times New Roman" w:cs="Arial"/>
      <w:iCs/>
      <w:kern w:val="2"/>
      <w:sz w:val="18"/>
      <w:szCs w:val="18"/>
      <w:lang w:val="en-US" w:eastAsia="zh-CN" w:bidi="ar-SA"/>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lang w:val="en-US" w:eastAsia="zh-CN" w:bidi="ar-SA"/>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lang w:val="en-US" w:eastAsia="zh-CN" w:bidi="ar-SA"/>
    </w:rPr>
  </w:style>
  <w:style w:type="paragraph" w:customStyle="1" w:styleId="NotesTextStep">
    <w:name w:val="Notes Text Step"/>
    <w:basedOn w:val="CAUTIONTextStep"/>
    <w:rsid w:val="00D17236"/>
    <w:pPr>
      <w:numPr>
        <w:ilvl w:val="6"/>
        <w:numId w:val="31"/>
      </w:numPr>
      <w:pBdr>
        <w:bottom w:val="none" w:sz="0" w:space="0" w:color="auto"/>
      </w:pBdr>
      <w:spacing w:before="40" w:line="200" w:lineRule="atLeast"/>
    </w:pPr>
    <w:rPr>
      <w:sz w:val="18"/>
      <w:szCs w:val="18"/>
    </w:rPr>
  </w:style>
  <w:style w:type="paragraph" w:customStyle="1" w:styleId="NotesTextStepSub">
    <w:name w:val="Notes Text Step Sub"/>
    <w:basedOn w:val="CAUTIONTextStep"/>
    <w:rsid w:val="00642033"/>
    <w:pPr>
      <w:numPr>
        <w:ilvl w:val="1"/>
        <w:numId w:val="38"/>
      </w:numPr>
      <w:pBdr>
        <w:bottom w:val="none" w:sz="0" w:space="0" w:color="auto"/>
      </w:pBdr>
      <w:spacing w:before="40" w:line="200" w:lineRule="atLeast"/>
    </w:pPr>
    <w:rPr>
      <w:sz w:val="18"/>
      <w:szCs w:val="18"/>
    </w:rPr>
  </w:style>
  <w:style w:type="paragraph" w:customStyle="1" w:styleId="NotesTextStepThird">
    <w:name w:val="Notes Text Step Third"/>
    <w:basedOn w:val="CAUTIONTextStep"/>
    <w:rsid w:val="00642033"/>
    <w:pPr>
      <w:numPr>
        <w:ilvl w:val="2"/>
        <w:numId w:val="38"/>
      </w:numPr>
      <w:pBdr>
        <w:bottom w:val="none" w:sz="0" w:space="0" w:color="auto"/>
      </w:pBdr>
      <w:spacing w:before="40" w:line="200" w:lineRule="atLeast"/>
    </w:pPr>
    <w:rPr>
      <w:sz w:val="18"/>
      <w:szCs w:val="18"/>
    </w:rPr>
  </w:style>
  <w:style w:type="paragraph" w:customStyle="1" w:styleId="Code">
    <w:name w:val="Code"/>
    <w:basedOn w:val="Normal"/>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Normal"/>
    <w:rsid w:val="009341D3"/>
    <w:pPr>
      <w:widowControl w:val="0"/>
      <w:shd w:val="clear" w:color="auto" w:fill="F2F2F2"/>
      <w:snapToGrid w:val="0"/>
      <w:spacing w:before="80" w:after="80" w:line="240" w:lineRule="atLeast"/>
      <w:ind w:left="0"/>
    </w:pPr>
    <w:rPr>
      <w:rFonts w:ascii="Courier New" w:hAnsi="Courier New"/>
      <w:snapToGrid w:val="0"/>
      <w:sz w:val="18"/>
    </w:rPr>
  </w:style>
  <w:style w:type="paragraph" w:customStyle="1" w:styleId="Outline">
    <w:name w:val="Outline"/>
    <w:basedOn w:val="Normal"/>
    <w:semiHidden/>
    <w:rsid w:val="00814566"/>
    <w:rPr>
      <w:i/>
      <w:color w:val="0000FF"/>
    </w:rPr>
  </w:style>
  <w:style w:type="table" w:customStyle="1" w:styleId="RemarksTable">
    <w:name w:val="Remarks Table"/>
    <w:basedOn w:val="TableNormal"/>
    <w:rsid w:val="00A24251"/>
    <w:tblPr>
      <w:tblInd w:w="1809" w:type="dxa"/>
      <w:tblCellMar>
        <w:top w:w="0" w:type="dxa"/>
        <w:left w:w="108" w:type="dxa"/>
        <w:bottom w:w="0" w:type="dxa"/>
        <w:right w:w="108" w:type="dxa"/>
      </w:tblCellMar>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adjustRightInd w:val="0"/>
      <w:ind w:left="2976"/>
    </w:pPr>
  </w:style>
  <w:style w:type="paragraph" w:customStyle="1" w:styleId="FourthLevelItemListTextTD">
    <w:name w:val="Fourth Level Item List Text TD"/>
    <w:basedOn w:val="TerminalDisplay"/>
    <w:rsid w:val="00DC432E"/>
    <w:pPr>
      <w:adjustRightInd w:val="0"/>
      <w:ind w:left="3401"/>
    </w:pPr>
  </w:style>
  <w:style w:type="paragraph" w:customStyle="1" w:styleId="FigureDescriptioninAppendix">
    <w:name w:val="Figure Description in Appendix"/>
    <w:basedOn w:val="FigureDescription"/>
    <w:next w:val="Figure"/>
    <w:rsid w:val="00F613A7"/>
    <w:pPr>
      <w:keepNext/>
      <w:numPr>
        <w:ilvl w:val="7"/>
        <w:numId w:val="36"/>
      </w:numPr>
    </w:pPr>
    <w:rPr>
      <w:rFonts w:eastAsia="宋体"/>
    </w:rPr>
  </w:style>
  <w:style w:type="paragraph" w:customStyle="1" w:styleId="ItemStepinAppendix">
    <w:name w:val="Item Step in Appendix"/>
    <w:basedOn w:val="ItemStep"/>
    <w:rsid w:val="00F613A7"/>
    <w:pPr>
      <w:numPr>
        <w:ilvl w:val="6"/>
        <w:numId w:val="36"/>
      </w:numPr>
      <w:outlineLvl w:val="5"/>
    </w:pPr>
  </w:style>
  <w:style w:type="paragraph" w:customStyle="1" w:styleId="FigureDescriptioninPreface">
    <w:name w:val="Figure Description in Preface"/>
    <w:basedOn w:val="FigureDescription"/>
    <w:next w:val="Figure"/>
    <w:rsid w:val="00F613A7"/>
    <w:pPr>
      <w:keepNext/>
      <w:numPr>
        <w:ilvl w:val="0"/>
        <w:numId w:val="41"/>
      </w:numPr>
    </w:pPr>
    <w:rPr>
      <w:rFonts w:eastAsia="宋体"/>
    </w:rPr>
  </w:style>
  <w:style w:type="paragraph" w:customStyle="1" w:styleId="StepinAppendix">
    <w:name w:val="Step in Appendix"/>
    <w:basedOn w:val="Step"/>
    <w:rsid w:val="00F613A7"/>
    <w:pPr>
      <w:numPr>
        <w:ilvl w:val="5"/>
        <w:numId w:val="36"/>
      </w:numPr>
      <w:topLinePunct w:val="0"/>
      <w:outlineLvl w:val="4"/>
    </w:pPr>
  </w:style>
  <w:style w:type="paragraph" w:customStyle="1" w:styleId="TableDescriptioninAppendix">
    <w:name w:val="Table Description in Appendix"/>
    <w:basedOn w:val="TableDescription"/>
    <w:next w:val="Normal"/>
    <w:rsid w:val="00F613A7"/>
    <w:pPr>
      <w:numPr>
        <w:ilvl w:val="8"/>
        <w:numId w:val="36"/>
      </w:numPr>
      <w:topLinePunct w:val="0"/>
    </w:pPr>
    <w:rPr>
      <w:rFonts w:eastAsia="宋体"/>
    </w:rPr>
  </w:style>
  <w:style w:type="paragraph" w:customStyle="1" w:styleId="TableDescriptioninPreface">
    <w:name w:val="Table Description in Preface"/>
    <w:basedOn w:val="TableDescription"/>
    <w:next w:val="Normal"/>
    <w:rsid w:val="00511C29"/>
    <w:pPr>
      <w:numPr>
        <w:ilvl w:val="0"/>
        <w:numId w:val="42"/>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yperlink" Target="https://e.huawei.com" TargetMode="External" /><Relationship Id="rId15" Type="http://schemas.openxmlformats.org/officeDocument/2006/relationships/hyperlink" Target="https://support.huawei.com/ecolumnsweb/en/warranty-policy" TargetMode="External" /><Relationship Id="rId16" Type="http://schemas.openxmlformats.org/officeDocument/2006/relationships/hyperlink" Target="https://www.huawei.com/en/psirt/vul-response-process" TargetMode="External" /><Relationship Id="rId17" Type="http://schemas.openxmlformats.org/officeDocument/2006/relationships/hyperlink" Target="https://securitybulletin.huawei.com/enterprise/en/security-advisory" TargetMode="External" /><Relationship Id="rId18" Type="http://schemas.openxmlformats.org/officeDocument/2006/relationships/hyperlink" Target="https://support.huawei.com/enterprise/en/bulletins-service/ENEWS2000015789" TargetMode="External" /><Relationship Id="rId19" Type="http://schemas.openxmlformats.org/officeDocument/2006/relationships/hyperlink" Target="https://e.huawei.com/en/about/eula" TargetMode="External" /><Relationship Id="rId2" Type="http://schemas.openxmlformats.org/officeDocument/2006/relationships/endnotes" Target="endnotes.xml" /><Relationship Id="rId20" Type="http://schemas.openxmlformats.org/officeDocument/2006/relationships/hyperlink" Target="https://support.huawei.com/enterprise/en/bulletins-website/ENEWS2000017761" TargetMode="External" /><Relationship Id="rId21" Type="http://schemas.openxmlformats.org/officeDocument/2006/relationships/header" Target="header4.xml" /><Relationship Id="rId22" Type="http://schemas.openxmlformats.org/officeDocument/2006/relationships/header" Target="header5.xml" /><Relationship Id="rId23" Type="http://schemas.openxmlformats.org/officeDocument/2006/relationships/footer" Target="footer4.xml" /><Relationship Id="rId24" Type="http://schemas.openxmlformats.org/officeDocument/2006/relationships/footer" Target="footer5.xml" /><Relationship Id="rId25" Type="http://schemas.openxmlformats.org/officeDocument/2006/relationships/header" Target="header6.xml" /><Relationship Id="rId26" Type="http://schemas.openxmlformats.org/officeDocument/2006/relationships/header" Target="header7.xml" /><Relationship Id="rId27" Type="http://schemas.openxmlformats.org/officeDocument/2006/relationships/footer" Target="footer6.xml" /><Relationship Id="rId28" Type="http://schemas.openxmlformats.org/officeDocument/2006/relationships/footer" Target="footer7.xml" /><Relationship Id="rId29" Type="http://schemas.openxmlformats.org/officeDocument/2006/relationships/header" Target="header8.xml" /><Relationship Id="rId3" Type="http://schemas.openxmlformats.org/officeDocument/2006/relationships/settings" Target="settings.xml" /><Relationship Id="rId30" Type="http://schemas.openxmlformats.org/officeDocument/2006/relationships/header" Target="header9.xml" /><Relationship Id="rId31" Type="http://schemas.openxmlformats.org/officeDocument/2006/relationships/header" Target="header10.xml" /><Relationship Id="rId32" Type="http://schemas.openxmlformats.org/officeDocument/2006/relationships/footer" Target="footer8.xml" /><Relationship Id="rId33" Type="http://schemas.openxmlformats.org/officeDocument/2006/relationships/footer" Target="footer9.xml" /><Relationship Id="rId34" Type="http://schemas.openxmlformats.org/officeDocument/2006/relationships/header" Target="header11.xml" /><Relationship Id="rId35" Type="http://schemas.openxmlformats.org/officeDocument/2006/relationships/header" Target="header12.xml" /><Relationship Id="rId36" Type="http://schemas.openxmlformats.org/officeDocument/2006/relationships/footer" Target="footer10.xml" /><Relationship Id="rId37" Type="http://schemas.openxmlformats.org/officeDocument/2006/relationships/footer" Target="footer11.xml" /><Relationship Id="rId38" Type="http://schemas.openxmlformats.org/officeDocument/2006/relationships/header" Target="header13.xml" /><Relationship Id="rId39" Type="http://schemas.openxmlformats.org/officeDocument/2006/relationships/header" Target="header14.xml" /><Relationship Id="rId4" Type="http://schemas.openxmlformats.org/officeDocument/2006/relationships/webSettings" Target="webSettings.xml" /><Relationship Id="rId40" Type="http://schemas.openxmlformats.org/officeDocument/2006/relationships/footer" Target="footer12.xml" /><Relationship Id="rId41" Type="http://schemas.openxmlformats.org/officeDocument/2006/relationships/footer" Target="footer13.xml" /><Relationship Id="rId42" Type="http://schemas.openxmlformats.org/officeDocument/2006/relationships/hyperlink" Target="http://web.nvd.nist.gov/view/vuln/search" TargetMode="External" /><Relationship Id="rId43" Type="http://schemas.openxmlformats.org/officeDocument/2006/relationships/header" Target="header15.xml" /><Relationship Id="rId44" Type="http://schemas.openxmlformats.org/officeDocument/2006/relationships/header" Target="header16.xml" /><Relationship Id="rId45" Type="http://schemas.openxmlformats.org/officeDocument/2006/relationships/footer" Target="footer14.xml" /><Relationship Id="rId46" Type="http://schemas.openxmlformats.org/officeDocument/2006/relationships/footer" Target="footer15.xml" /><Relationship Id="rId47" Type="http://schemas.openxmlformats.org/officeDocument/2006/relationships/theme" Target="theme/theme1.xml" /><Relationship Id="rId48" Type="http://schemas.openxmlformats.org/officeDocument/2006/relationships/numbering" Target="numbering.xml" /><Relationship Id="rId49" Type="http://schemas.openxmlformats.org/officeDocument/2006/relationships/styles" Target="styles.xml" /><Relationship Id="rId5" Type="http://schemas.openxmlformats.org/officeDocument/2006/relationships/fontTable" Target="fontTable.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28</Pages>
  <Words>4576</Words>
  <Characters>25605</Characters>
  <Application>Microsoft Office Word</Application>
  <DocSecurity>0</DocSecurity>
  <Lines>0</Lines>
  <Paragraphs>785</Paragraphs>
  <ScaleCrop>false</ScaleCrop>
  <Company>Huawei Technologies Co.,Ltd.</Company>
  <LinksUpToDate>false</LinksUpToDate>
  <CharactersWithSpaces>29392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Patch Notes</dc:title>
  <dc:subject>Technical Document</dc:subject>
  <dc:creator>Huawei Technologies Co.,Ltd.</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Patch Notes</vt:lpwstr>
  </property>
  <property fmtid="{D5CDD505-2E9C-101B-9397-08002B2CF9AE}" pid="3" name="DocumentVersion">
    <vt:lpwstr>01</vt:lpwstr>
  </property>
  <property fmtid="{D5CDD505-2E9C-101B-9397-08002B2CF9AE}" pid="4" name="PartNumber">
    <vt:lpwstr/>
  </property>
  <property fmtid="{D5CDD505-2E9C-101B-9397-08002B2CF9AE}" pid="5" name="Product&amp;Project Name">
    <vt:lpwstr>OceanStor</vt:lpwstr>
  </property>
  <property fmtid="{D5CDD505-2E9C-101B-9397-08002B2CF9AE}" pid="6" name="ProductVersion">
    <vt:lpwstr>6.1.8.SPH20</vt:lpwstr>
  </property>
  <property fmtid="{D5CDD505-2E9C-101B-9397-08002B2CF9AE}" pid="7" name="ProprietaryDeclaration">
    <vt:lpwstr>Copyright © Huawei Technologies Co., Ltd.</vt:lpwstr>
  </property>
  <property fmtid="{D5CDD505-2E9C-101B-9397-08002B2CF9AE}" pid="8" name="ReleaseDate">
    <vt:lpwstr>2025-04-29</vt:lpwstr>
  </property>
  <property fmtid="{D5CDD505-2E9C-101B-9397-08002B2CF9AE}" pid="9" name="SecretLevel">
    <vt:lpwstr>PUBLIC OPEN</vt:lpwstr>
  </property>
  <property fmtid="{D5CDD505-2E9C-101B-9397-08002B2CF9AE}" pid="10" name="Trademark&amp;ProductType">
    <vt:lpwstr>OceanStor</vt:lpwstr>
  </property>
</Properties>
</file>