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1.0 -->
  <w:body>
    <w:tbl>
      <w:tblPr>
        <w:tblStyle w:val="TableGrid"/>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
      <w:tblGrid>
        <w:gridCol w:w="1461"/>
        <w:gridCol w:w="1880"/>
        <w:gridCol w:w="5385"/>
        <w:gridCol w:w="1750"/>
        <w:gridCol w:w="1463"/>
      </w:tblGrid>
      <w:tr>
        <w:tblPrEx>
          <w:tblW w:w="11939"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1E0"/>
        </w:tblPrEx>
        <w:trPr>
          <w:trHeight w:val="1565"/>
        </w:trPr>
        <w:tc>
          <w:tcPr>
            <w:tcW w:w="1461" w:type="dxa"/>
            <w:vMerge w:val="restart"/>
            <w:vAlign w:val="bottom"/>
          </w:tcPr>
          <w:p>
            <w:pPr>
              <w:widowControl w:val="0"/>
              <w:ind w:left="0"/>
              <w:jc w:val="both"/>
            </w:pPr>
            <w:r>
              <w:rPr>
                <w:rFonts w:hint="eastAsia"/>
                <w:noProof/>
              </w:rPr>
              <w:pict>
                <v:shapetype id="_x0000_t74" coordsize="21600,21600" o:spt="74" path="m10860,2187c10451,1746,9529,1018,9015,730,7865,152,6685,,5415,,4175,152,2995,575,1967,1305,1150,2187,575,3222,242,4220,,5410,242,6560,575,7597l10860,21600,20995,7597v485,-1037,605,-2187,485,-3377c21115,3222,20420,2187,19632,1305,18575,575,17425,152,16275,,15005,,13735,152,12705,730v-529,288,-1451,1016,-1845,1457xe">
                  <v:stroke joinstyle="miter"/>
                  <v:path gradientshapeok="t" o:connecttype="custom" o:connectlocs="10860,2187;2928,10800;10860,21600;18672,10800" o:connectangles="270,180,90,0" textboxrect="5037,2277,16557,13677"/>
                </v:shapetype>
                <v:shape id="DtsShapeName" o:spid="_x0000_s1025" type="#_x0000_t74" alt="C535027123CC544791753G5E725G9@9G09=@;U9=@;]B22626B!!!!!BIHO@]b22626!!!!@5786861107DB82D738dyudso`m!enbtldou!udlqm`ud^10/enu!!!!!!!!!!!!!!!!!!!!!!!!!!!!!!!!!!!!!!!!!!!!!!!!!!!!!!!!!!!!!!!!!!!!!!!!!!!!!!!!!!!!!!!!!!!!!!!!!!!!!!!!!!!!!!!!!!!!!!!!!!!!!!!!!!!!!!!!!!!!!!!!!!!!!!!!!!!!!!!!!!!!!!!!!!!!!!!!!!!!!!!!!!!!!!!!!!!!!!!!!!!!!!!!!!!!!!!!!!!!!!!!!!!!!!!!!!!!!!!!!!!!!!!!!!!!!!!!!!!!!!!!!!!!!!!!!!!!!!!!!!!!!!!!!!!!!!!!!!!!!!!!!!!!!!!!!!!!!!!!!!!!!!!!!!!!!!!!!!!!!!!!!!!!!!!!!!!!!!!!!!!!!!!!!!!!!!!!!!!!!!!!!!!!!!!!!!!!!!!!!!!!!!!!!!!!!!!!!!!!!!!!!!!!!!!!!!!!!!!!!!!!!!!!!!!!!!!!!!!!!!!!!!!!!!!!!!!!!!!!!!!!!!!!!!!!!!!!!!!!!!!!!!!!!!!!!!!!!!!!!!!!!!!!!!!!!!!!!!!!!!!!!!!!!!!!!!!!!!!!!!!!!!!!!!!!!!!!!!!!!!!!!!!!!!!!!!!!!!!!!!!!!!!!!!!!!!!!!!!!!!!!!!!!!!!!!!!!!!!!!!!!!!!!!!!!!!!!!!!!!!!!!!!!!!!!!!!!!!!!!!!!!!!!!!!!!!!!!!!!!!!!!!!!!!!!!!!!!!!!!!!!!!!!!!!!!!!!!!!!!!!!!!!!!!!!!!!!!!!!!!!!!!!!!!!!!!!!!!!!!!!!!!!!!!!!!!!!!!!!!!!!!!!!!!!!!!!!!!!!!!!!!!!!!!!!!!!!!!!!!!!!!!!!!!!!!!!!!!!!!!!!!!!!!!!!!!!!!!!!!!!!!!!!!!!!!!!!!!!!!!!!!!!!!!!!!!!!!!!!!!!!!!!!!!!!!!!!!!!!!!!!!!!!!!!!!!!!!!!!!!!!!!!!!!!!!!!!!!!!!!!!!!!!!!!!!!!!!!!!!!!!!!!!!!!!!!!!!!!!!!!!!!!!!!!!!!!!!!!!!!!!!!!!!!!!!!!!!!!!!!!!!!!!!!!!!!!!!!!!!!!!!!!!!!!!!!!!!!!!!!!!!!!!!!!!!!!!!!!!!!!!!!!!!!!!!!!!!!!!!!!!!!!!!!!!!!!!!!!!!!!!!!!!!!!!!!!!!!!!!!!!!!!!!!!!!!!!!!!!!!!!!!!!!!!!!!!!!!!!!!!!!!!!!!!!!!!!!!!!!!!!!!!!!!!!!!!!!!!!!!!!!!!!!!!!!!!!!!!!!!!!!!!!!!!!!!!!!!!!!!!!!!!!!!!!!!!!!!!!!!!!!!!!!!!!!!!!!!!!!!!!!!!!!!!!!!!!!!!!!!!!!!!!!!!!!!!!!!!!!!!!!!!!!!!!!!!!!!!!!!!!!!!!!!!!!!!!!!!!!!!!!!!!!!!!!!!!!!!!!!!!!!!!!!!!!!!!!!!!!!!!!!!!!!!!!!!!!!!!!!!!!!!!!!!!!!!!!!!!!!!!!!!!!!!!!!!!!!!!!!!!!!!!!!!!!!!!!!!!!!!!!!!!!!!!!!!!!!!!!!!!!!!!!!!!!!!!!!!!!!!!!!!!!!!!!!!!!!!!!!!!!!!!!!!!!!!!!!!!!!!!!!!!!!!!!!!!!!!!!!!!!!!!!!!!!!!!!!!!!!!!!!!!!!!!!!!!!!!!!!!!!!!!!!!!!!!!!!!!!!!!!!!!!!!!!!!!!!!!!!!!!!!!!!!!!!!!!!!!!!!!!!!!!!!!!!!!!!!!!!!!!!!!!!!!!!!!!!!!!!!!!!!!!!!!!!!!!!!!!!!!!!!!!!!!!!!!!!!!!!!!!!!!!!!!!!!!!!!!!!!!!!!!!!!!!!!!!!!!!!!!!!!!!!!!!!!!!!!!!!!!!!!!!!!!!!!!!!!!!!!!!!!!!!!!!!!!!!!!!!!!!!!!!!!!!!!!!!!!!!!!!!!!!!!!!!!!!!!!!!!!!!!!!!!!!!!!!!!!!!!!!!!!!!!!!!!!!!!!!!!!!!!!!!!!!!!!!!!!!!!!!!!!!!!!!!!!!!!!!!!!!!!!!!!!!!!!!!!!!!!!!!!!!!!!!!!!!!!!!!!!!!!!!!!!!!!!!!!!!!!!!!!!!!!!!!!!!!!!!!!!!!!!!!!!!!!!!!!!!!!!!!!!!!!!!!!!!!!!!!!!!!!!!!!!!!!!!!!!!!!!!!!!!!!!!!!!!!!!!!!!!!!!!!!!!!!!!!!!!!!!!!!!!!!!!!!!!!!!!!!!!!!!!!!!!!!!!!!!!!!!!!!!!!!!!!!!!!!!!!!!!!!!!!!!!!!!!!!!!!!!!!!!!!!!!!!!!!!!!!!!!!!!!!1!1" style="width:0.05pt;height:0.05pt;margin-top:0;margin-left:0;position:absolute;visibility:hidden;z-index:251658240">
                  <w10:anchorlock/>
                </v:shape>
              </w:pict>
            </w:r>
          </w:p>
        </w:tc>
        <w:tc>
          <w:tcPr>
            <w:tcW w:w="9015" w:type="dxa"/>
            <w:gridSpan w:val="3"/>
            <w:vAlign w:val="bottom"/>
          </w:tcPr>
          <w:p>
            <w:pPr>
              <w:widowControl w:val="0"/>
              <w:spacing w:before="0" w:after="0" w:line="240" w:lineRule="auto"/>
              <w:ind w:left="0"/>
              <w:jc w:val="right"/>
            </w:pPr>
            <w:r>
              <w:fldChar w:fldCharType="begin"/>
            </w:r>
            <w:r>
              <w:rPr>
                <w:rFonts w:ascii="Arial" w:eastAsia="黑体"/>
                <w:b/>
                <w:sz w:val="24"/>
                <w:szCs w:val="24"/>
              </w:rPr>
              <w:instrText xml:space="preserve"> DOCPROPERTY  PartNumber </w:instrText>
            </w:r>
            <w:r>
              <w:fldChar w:fldCharType="separate"/>
            </w:r>
            <w:r>
              <w:fldChar w:fldCharType="end"/>
            </w:r>
          </w:p>
        </w:tc>
        <w:tc>
          <w:tcPr>
            <w:tcW w:w="1463" w:type="dxa"/>
            <w:vMerge w:val="restart"/>
            <w:vAlign w:val="bottom"/>
          </w:tcPr>
          <w:p>
            <w:pPr>
              <w:widowControl w:val="0"/>
              <w:spacing w:before="0" w:after="0" w:line="240" w:lineRule="auto"/>
              <w:ind w:left="0"/>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pStyle w:val="Cover1"/>
              <w:widowControl w:val="0"/>
            </w:pPr>
          </w:p>
        </w:tc>
        <w:tc>
          <w:tcPr>
            <w:tcW w:w="9015" w:type="dxa"/>
            <w:gridSpan w:val="3"/>
            <w:shd w:val="clear" w:color="auto" w:fill="auto"/>
            <w:vAlign w:val="bottom"/>
          </w:tcPr>
          <w:p>
            <w:pPr>
              <w:pStyle w:val="Cover2"/>
              <w:jc w:val="left"/>
              <w:rPr>
                <w:rFonts w:hint="eastAsia"/>
              </w:rPr>
            </w:pPr>
            <w:r>
              <w:fldChar w:fldCharType="begin"/>
            </w:r>
            <w:r>
              <w:instrText xml:space="preserve"> </w:instrText>
            </w:r>
            <w:r>
              <w:rPr>
                <w:rFonts w:hint="eastAsia"/>
                <w:b/>
              </w:rPr>
              <w:instrText>DOCPROPERTY  "Product&amp;Project Name"</w:instrText>
            </w:r>
            <w:r>
              <w:instrText xml:space="preserve"> </w:instrText>
            </w:r>
            <w:r>
              <w:fldChar w:fldCharType="separate"/>
            </w:r>
            <w:r>
              <w:rPr>
                <w:rFonts w:hint="eastAsia"/>
                <w:b/>
              </w:rPr>
              <w:t>OceanStor Dorado</w:t>
            </w:r>
            <w:r>
              <w:fldChar w:fldCharType="end"/>
            </w:r>
          </w:p>
          <w:p>
            <w:pPr>
              <w:pStyle w:val="Cover2"/>
              <w:jc w:val="left"/>
              <w:rPr>
                <w:rFonts w:hint="eastAsia"/>
                <w:lang w:eastAsia="zh-CN"/>
              </w:rPr>
            </w:pPr>
            <w:r>
              <w:fldChar w:fldCharType="begin"/>
            </w:r>
            <w:r>
              <w:instrText xml:space="preserve"> </w:instrText>
            </w:r>
            <w:r>
              <w:rPr>
                <w:rFonts w:hint="eastAsia"/>
                <w:b/>
              </w:rPr>
              <w:instrText>DOCPROPERTY  ProductVersion</w:instrText>
            </w:r>
            <w:r>
              <w:instrText xml:space="preserve"> </w:instrText>
            </w:r>
            <w:r>
              <w:fldChar w:fldCharType="separate"/>
            </w:r>
            <w:r>
              <w:rPr>
                <w:rFonts w:hint="eastAsia"/>
                <w:b/>
              </w:rPr>
              <w:t>V700R001C00SPC200</w:t>
            </w:r>
            <w:r>
              <w:fldChar w:fldCharType="end"/>
            </w:r>
          </w:p>
        </w:tc>
        <w:tc>
          <w:tcPr>
            <w:tcW w:w="1463" w:type="dxa"/>
            <w:vMerge/>
            <w:vAlign w:val="bottom"/>
          </w:tcPr>
          <w:p>
            <w:pPr>
              <w:pStyle w:val="Cover5"/>
              <w:jc w:val="both"/>
            </w:pPr>
          </w:p>
        </w:tc>
      </w:tr>
      <w:tr>
        <w:tblPrEx>
          <w:tblW w:w="11939" w:type="dxa"/>
          <w:tblInd w:w="0" w:type="dxa"/>
          <w:tblLayout w:type="fixed"/>
          <w:tblCellMar>
            <w:left w:w="0" w:type="dxa"/>
            <w:right w:w="0" w:type="dxa"/>
          </w:tblCellMar>
          <w:tblLook w:val="01E0"/>
        </w:tblPrEx>
        <w:trPr>
          <w:trHeight w:val="1565"/>
        </w:trPr>
        <w:tc>
          <w:tcPr>
            <w:tcW w:w="1461" w:type="dxa"/>
            <w:vMerge/>
            <w:shd w:val="clear" w:color="auto" w:fill="auto"/>
            <w:vAlign w:val="center"/>
          </w:tcPr>
          <w:p>
            <w:pPr>
              <w:spacing w:before="0" w:after="0" w:line="240" w:lineRule="auto"/>
              <w:ind w:left="0"/>
            </w:pPr>
          </w:p>
        </w:tc>
        <w:tc>
          <w:tcPr>
            <w:tcW w:w="9015" w:type="dxa"/>
            <w:gridSpan w:val="3"/>
            <w:shd w:val="clear" w:color="auto" w:fill="auto"/>
          </w:tcPr>
          <w:p>
            <w:pPr>
              <w:pStyle w:val="Cover2"/>
              <w:spacing w:before="80" w:after="80" w:line="240" w:lineRule="auto"/>
              <w:jc w:val="left"/>
              <w:rPr>
                <w:rFonts w:hint="eastAsia"/>
                <w:sz w:val="48"/>
                <w:szCs w:val="48"/>
                <w:lang w:eastAsia="zh-CN"/>
              </w:rPr>
            </w:pPr>
            <w:r>
              <w:rPr>
                <w:sz w:val="48"/>
                <w:szCs w:val="48"/>
              </w:rPr>
              <w:fldChar w:fldCharType="begin"/>
            </w:r>
            <w:r>
              <w:rPr>
                <w:sz w:val="48"/>
                <w:szCs w:val="48"/>
              </w:rPr>
              <w:instrText xml:space="preserve"> </w:instrText>
            </w:r>
            <w:r>
              <w:rPr>
                <w:rFonts w:hint="eastAsia"/>
                <w:b/>
                <w:sz w:val="48"/>
                <w:szCs w:val="48"/>
              </w:rPr>
              <w:instrText>DOCPROPERTY  DocumentName</w:instrText>
            </w:r>
            <w:r>
              <w:rPr>
                <w:sz w:val="48"/>
                <w:szCs w:val="48"/>
              </w:rPr>
              <w:instrText xml:space="preserve"> </w:instrText>
            </w:r>
            <w:r>
              <w:rPr>
                <w:sz w:val="48"/>
                <w:szCs w:val="48"/>
              </w:rPr>
              <w:fldChar w:fldCharType="separate"/>
            </w:r>
            <w:r>
              <w:rPr>
                <w:rFonts w:hint="eastAsia"/>
                <w:b/>
                <w:sz w:val="48"/>
                <w:szCs w:val="48"/>
              </w:rPr>
              <w:t>Release Notes</w:t>
            </w:r>
            <w:r>
              <w:rPr>
                <w:sz w:val="48"/>
                <w:szCs w:val="48"/>
              </w:rPr>
              <w:fldChar w:fldCharType="end"/>
            </w:r>
          </w:p>
        </w:tc>
        <w:tc>
          <w:tcPr>
            <w:tcW w:w="1463" w:type="dxa"/>
            <w:vMerge/>
            <w:vAlign w:val="bottom"/>
          </w:tcPr>
          <w:p>
            <w:pPr>
              <w:pStyle w:val="Cover4"/>
            </w:pPr>
          </w:p>
        </w:tc>
      </w:tr>
      <w:tr>
        <w:tblPrEx>
          <w:tblW w:w="11939" w:type="dxa"/>
          <w:tblInd w:w="0" w:type="dxa"/>
          <w:tblLayout w:type="fixed"/>
          <w:tblCellMar>
            <w:left w:w="0" w:type="dxa"/>
            <w:right w:w="0" w:type="dxa"/>
          </w:tblCellMar>
          <w:tblLook w:val="01E0"/>
        </w:tblPrEx>
        <w:trPr>
          <w:trHeight w:val="326"/>
        </w:trPr>
        <w:tc>
          <w:tcPr>
            <w:tcW w:w="1461" w:type="dxa"/>
            <w:vMerge/>
            <w:shd w:val="clear" w:color="auto" w:fill="auto"/>
            <w:vAlign w:val="bottom"/>
          </w:tcPr>
          <w:p>
            <w:pPr>
              <w:widowControl w:val="0"/>
              <w:spacing w:before="0" w:after="0" w:line="240" w:lineRule="auto"/>
              <w:ind w:left="0"/>
            </w:pPr>
          </w:p>
        </w:tc>
        <w:tc>
          <w:tcPr>
            <w:tcW w:w="1880" w:type="dxa"/>
            <w:shd w:val="clear" w:color="auto" w:fill="auto"/>
            <w:vAlign w:val="center"/>
          </w:tcPr>
          <w:p>
            <w:pPr>
              <w:pStyle w:val="Cover5"/>
              <w:jc w:val="left"/>
              <w:rPr>
                <w:b/>
              </w:rPr>
            </w:pPr>
            <w:r>
              <w:rPr>
                <w:b/>
              </w:rPr>
              <w:t>Issue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DocumentVersion</w:instrText>
            </w:r>
            <w:r>
              <w:instrText xml:space="preserve"> </w:instrText>
            </w:r>
            <w:r>
              <w:fldChar w:fldCharType="separate"/>
            </w:r>
            <w:r>
              <w:rPr>
                <w:rFonts w:hint="eastAsia"/>
                <w:b/>
              </w:rPr>
              <w:t>01</w:t>
            </w:r>
            <w:r>
              <w:fldChar w:fldCharType="end"/>
            </w:r>
          </w:p>
        </w:tc>
        <w:tc>
          <w:tcPr>
            <w:tcW w:w="1462" w:type="dxa"/>
            <w:vMerge/>
            <w:vAlign w:val="bottom"/>
          </w:tcPr>
          <w:p>
            <w:pPr>
              <w:ind w:left="0"/>
            </w:pPr>
          </w:p>
        </w:tc>
      </w:tr>
      <w:tr>
        <w:tblPrEx>
          <w:tblW w:w="11939" w:type="dxa"/>
          <w:tblInd w:w="0" w:type="dxa"/>
          <w:tblLayout w:type="fixed"/>
          <w:tblCellMar>
            <w:left w:w="0" w:type="dxa"/>
            <w:right w:w="0" w:type="dxa"/>
          </w:tblCellMar>
          <w:tblLook w:val="01E0"/>
        </w:tblPrEx>
        <w:trPr>
          <w:trHeight w:val="325"/>
        </w:trPr>
        <w:tc>
          <w:tcPr>
            <w:tcW w:w="1461" w:type="dxa"/>
            <w:vMerge/>
            <w:shd w:val="clear" w:color="auto" w:fill="auto"/>
            <w:vAlign w:val="bottom"/>
          </w:tcPr>
          <w:p>
            <w:pPr>
              <w:widowControl w:val="0"/>
              <w:spacing w:before="0" w:after="0" w:line="240" w:lineRule="auto"/>
              <w:ind w:left="0"/>
              <w:jc w:val="both"/>
            </w:pPr>
          </w:p>
        </w:tc>
        <w:tc>
          <w:tcPr>
            <w:tcW w:w="1880" w:type="dxa"/>
            <w:shd w:val="clear" w:color="auto" w:fill="auto"/>
            <w:vAlign w:val="center"/>
          </w:tcPr>
          <w:p>
            <w:pPr>
              <w:pStyle w:val="Cover5"/>
              <w:jc w:val="left"/>
              <w:rPr>
                <w:b/>
              </w:rPr>
            </w:pPr>
            <w:r>
              <w:rPr>
                <w:b/>
              </w:rPr>
              <w:t>Date</w:t>
            </w:r>
          </w:p>
        </w:tc>
        <w:tc>
          <w:tcPr>
            <w:tcW w:w="7135" w:type="dxa"/>
            <w:gridSpan w:val="2"/>
            <w:shd w:val="clear" w:color="auto" w:fill="auto"/>
            <w:vAlign w:val="center"/>
          </w:tcPr>
          <w:p>
            <w:pPr>
              <w:pStyle w:val="Cover5"/>
              <w:jc w:val="left"/>
            </w:pPr>
            <w:r>
              <w:fldChar w:fldCharType="begin"/>
            </w:r>
            <w:r>
              <w:instrText xml:space="preserve"> </w:instrText>
            </w:r>
            <w:r>
              <w:rPr>
                <w:rFonts w:hint="eastAsia"/>
                <w:b/>
              </w:rPr>
              <w:instrText>DOCPROPERTY  ReleaseDate</w:instrText>
            </w:r>
            <w:r>
              <w:instrText xml:space="preserve"> </w:instrText>
            </w:r>
            <w:r>
              <w:fldChar w:fldCharType="separate"/>
            </w:r>
            <w:r>
              <w:rPr>
                <w:rFonts w:hint="eastAsia"/>
                <w:b/>
              </w:rPr>
              <w:t>2024-12-30</w:t>
            </w:r>
            <w:r>
              <w:fldChar w:fldCharType="end"/>
            </w:r>
          </w:p>
        </w:tc>
        <w:tc>
          <w:tcPr>
            <w:tcW w:w="1463" w:type="dxa"/>
            <w:vMerge/>
            <w:vAlign w:val="bottom"/>
          </w:tcPr>
          <w:p>
            <w:pPr>
              <w:ind w:left="0"/>
            </w:pPr>
          </w:p>
        </w:tc>
      </w:tr>
      <w:tr>
        <w:tblPrEx>
          <w:tblW w:w="11939" w:type="dxa"/>
          <w:tblInd w:w="0" w:type="dxa"/>
          <w:tblLayout w:type="fixed"/>
          <w:tblCellMar>
            <w:left w:w="0" w:type="dxa"/>
            <w:right w:w="0" w:type="dxa"/>
          </w:tblCellMar>
          <w:tblLook w:val="01E0"/>
        </w:tblPrEx>
        <w:trPr>
          <w:trHeight w:val="8786"/>
        </w:trPr>
        <w:tc>
          <w:tcPr>
            <w:tcW w:w="11939" w:type="dxa"/>
            <w:gridSpan w:val="5"/>
            <w:shd w:val="clear" w:color="auto" w:fill="auto"/>
            <w:vAlign w:val="center"/>
          </w:tcPr>
          <w:p>
            <w:pPr>
              <w:widowControl w:val="0"/>
              <w:ind w:left="0"/>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83.9pt;height:250pt;mso-wrap-style:square;visibility:visible">
                  <v:imagedata r:id="rId6" o:title="方圆ok1"/>
                </v:shape>
              </w:pict>
            </w:r>
          </w:p>
        </w:tc>
      </w:tr>
      <w:tr>
        <w:tblPrEx>
          <w:tblW w:w="11939" w:type="dxa"/>
          <w:tblInd w:w="0" w:type="dxa"/>
          <w:tblLayout w:type="fixed"/>
          <w:tblCellMar>
            <w:left w:w="0" w:type="dxa"/>
            <w:right w:w="0" w:type="dxa"/>
          </w:tblCellMar>
          <w:tblLook w:val="01E0"/>
        </w:tblPrEx>
        <w:trPr>
          <w:trHeight w:val="1697"/>
        </w:trPr>
        <w:tc>
          <w:tcPr>
            <w:tcW w:w="1461" w:type="dxa"/>
            <w:shd w:val="clear" w:color="auto" w:fill="auto"/>
            <w:vAlign w:val="bottom"/>
          </w:tcPr>
          <w:p>
            <w:pPr>
              <w:widowControl w:val="0"/>
              <w:spacing w:before="0" w:after="0" w:line="240" w:lineRule="auto"/>
              <w:ind w:left="0"/>
              <w:jc w:val="both"/>
            </w:pPr>
          </w:p>
        </w:tc>
        <w:tc>
          <w:tcPr>
            <w:tcW w:w="7265" w:type="dxa"/>
            <w:gridSpan w:val="2"/>
            <w:vAlign w:val="bottom"/>
          </w:tcPr>
          <w:p>
            <w:pPr>
              <w:pStyle w:val="Cover4"/>
              <w:jc w:val="left"/>
              <w:rPr>
                <w:sz w:val="21"/>
              </w:rPr>
            </w:pPr>
            <w:r>
              <w:rPr>
                <w:rFonts w:hint="eastAsia"/>
              </w:rPr>
              <w:t>HUAWEI TECHNOLOGIES CO., LTD.</w:t>
            </w:r>
          </w:p>
        </w:tc>
        <w:tc>
          <w:tcPr>
            <w:tcW w:w="1750" w:type="dxa"/>
            <w:vAlign w:val="center"/>
          </w:tcPr>
          <w:p>
            <w:pPr>
              <w:widowControl w:val="0"/>
              <w:spacing w:before="0" w:after="0" w:line="240" w:lineRule="auto"/>
              <w:ind w:left="0"/>
              <w:jc w:val="center"/>
            </w:pPr>
            <w:r>
              <w:rPr>
                <w:noProof/>
              </w:rPr>
              <w:pict>
                <v:shape id="图片 2" o:spid="_x0000_i1027" type="#_x0000_t75" alt="附件1-16K" style="width:74.15pt;height:1in;mso-wrap-style:square;visibility:visible">
                  <v:imagedata r:id="rId7" o:title="附件1-16K"/>
                </v:shape>
              </w:pict>
            </w:r>
          </w:p>
        </w:tc>
        <w:tc>
          <w:tcPr>
            <w:tcW w:w="1463" w:type="dxa"/>
            <w:vAlign w:val="bottom"/>
          </w:tcPr>
          <w:p>
            <w:pPr>
              <w:spacing w:before="0" w:after="0" w:line="240" w:lineRule="auto"/>
              <w:ind w:left="0"/>
            </w:pPr>
          </w:p>
        </w:tc>
      </w:tr>
    </w:tbl>
    <w:p>
      <w:pPr>
        <w:ind w:left="0"/>
        <w:rPr>
          <w:rFonts w:hint="eastAsia"/>
        </w:rPr>
        <w:sectPr>
          <w:headerReference w:type="even" r:id="rId8"/>
          <w:headerReference w:type="default" r:id="rId9"/>
          <w:footerReference w:type="even" r:id="rId10"/>
          <w:footerReference w:type="default" r:id="rId11"/>
          <w:headerReference w:type="first" r:id="rId12"/>
          <w:footerReference w:type="first" r:id="rId13"/>
          <w:pgSz w:w="11907" w:h="16840" w:code="9"/>
          <w:pgMar w:top="0" w:right="0" w:bottom="0" w:left="0" w:header="0" w:footer="0" w:gutter="0"/>
          <w:pgNumType w:fmt="lowerRoman" w:start="1"/>
          <w:cols w:space="425"/>
          <w:docGrid w:linePitch="312"/>
        </w:sect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9640"/>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c>
          <w:tcPr>
            <w:tcW w:w="9640" w:type="dxa"/>
          </w:tcPr>
          <w:p>
            <w:pPr>
              <w:pStyle w:val="Cover3"/>
              <w:jc w:val="left"/>
            </w:pPr>
            <w:r>
              <w:rPr>
                <w:b/>
                <w:kern w:val="0"/>
              </w:rPr>
              <w:t xml:space="preserve">Copyright © Huawei Technologies Co., Ltd. </w:t>
            </w:r>
            <w:r>
              <w:rPr>
                <w:rFonts w:hint="eastAsia"/>
                <w:b/>
                <w:kern w:val="0"/>
              </w:rPr>
              <w:t>2024</w:t>
            </w:r>
            <w:r>
              <w:rPr>
                <w:b/>
                <w:kern w:val="0"/>
              </w:rPr>
              <w:t>. All rights reserved.</w:t>
            </w:r>
          </w:p>
          <w:p>
            <w:pPr>
              <w:pStyle w:val="CoverText"/>
              <w:jc w:val="left"/>
            </w:pPr>
            <w:r>
              <w:t>No part of this document may be reproduced or transmitted in any form or by any means without prior written consent of Huawei Technologies Co., Ltd.</w:t>
            </w:r>
          </w:p>
          <w:p>
            <w:pPr>
              <w:pStyle w:val="Cover3"/>
              <w:rPr>
                <w:rFonts w:hint="eastAsia"/>
              </w:rPr>
            </w:pPr>
          </w:p>
          <w:p>
            <w:pPr>
              <w:pStyle w:val="Cover3"/>
              <w:jc w:val="left"/>
            </w:pPr>
            <w:r>
              <w:rPr>
                <w:b/>
                <w:kern w:val="0"/>
              </w:rPr>
              <w:t>Trademarks and Permissions</w:t>
            </w:r>
          </w:p>
          <w:p>
            <w:pPr>
              <w:pStyle w:val="CoverText"/>
              <w:jc w:val="left"/>
            </w:pPr>
            <w:r>
              <w:rPr>
                <w:position w:val="-1"/>
              </w:rPr>
              <w:pict>
                <v:shape id="_x0000_i1028" type="#_x0000_t75" style="width:23.25pt;height:22.5pt">
                  <v:imagedata r:id="rId7" o:title="附件3-图"/>
                </v:shape>
              </w:pict>
            </w:r>
            <w:r>
              <w:t xml:space="preserve"> and other Huawei trademarks are trademarks of Huawei Technologies Co., Ltd.</w:t>
            </w:r>
          </w:p>
          <w:p>
            <w:pPr>
              <w:pStyle w:val="CoverText"/>
              <w:jc w:val="left"/>
            </w:pPr>
            <w:r>
              <w:t>All other trademarks and trade names mentioned in this document are the property of their respective holders.</w:t>
            </w:r>
          </w:p>
          <w:p>
            <w:pPr>
              <w:pStyle w:val="CoverText"/>
            </w:pPr>
          </w:p>
          <w:p>
            <w:pPr>
              <w:pStyle w:val="Cover3"/>
              <w:jc w:val="left"/>
              <w:rPr>
                <w:kern w:val="0"/>
              </w:rPr>
            </w:pPr>
            <w:r>
              <w:rPr>
                <w:b/>
                <w:kern w:val="0"/>
              </w:rPr>
              <w:t>Notice</w:t>
            </w:r>
          </w:p>
          <w:p>
            <w:pPr>
              <w:pStyle w:val="CoverText"/>
              <w:jc w:val="left"/>
              <w:rPr>
                <w:rFonts w:hint="eastAsia"/>
              </w:rPr>
            </w:pPr>
            <w:r>
              <w:t>The purchased products, services and features are stipulated by the contract made between Huawei and the customer. All or part of the products, services and features described in this document may not be within the purchase scope or the usage scope. Unless otherwise specified in the contract, all statements, information, and recommendations in this document are provided "AS IS" without warranties, guarantees or representations of any kind, either express or implied.</w:t>
            </w:r>
          </w:p>
          <w:p>
            <w:pPr>
              <w:pStyle w:val="CoverText"/>
              <w:ind w:left="0"/>
              <w:jc w:val="left"/>
              <w:rPr>
                <w:rFonts w:hint="eastAsia"/>
              </w:rPr>
            </w:pPr>
            <w:r>
              <w:rPr>
                <w:rFonts w:eastAsia="黑体" w:hint="eastAsia"/>
                <w:snapToGrid w:val="0"/>
                <w:kern w:val="0"/>
                <w:sz w:val="20"/>
                <w:szCs w:val="20"/>
              </w:rPr>
              <w:t>The information in this document is subject to change without notice. Every effort has been made in the preparation of this document to ensure accuracy of the contents, but all statements, information, and recommendations in this document do not constitute a warranty of any kind, express or implied.</w:t>
            </w:r>
          </w:p>
        </w:tc>
      </w:tr>
    </w:tbl>
    <w:p>
      <w:pPr>
        <w:ind w:left="0"/>
        <w:rPr>
          <w:rFonts w:hint="eastAsia"/>
        </w:rPr>
      </w:pPr>
    </w:p>
    <w:p>
      <w:pPr>
        <w:ind w:left="0"/>
        <w:rPr>
          <w:rFonts w:hint="eastAsia"/>
        </w:rPr>
      </w:pPr>
    </w:p>
    <w:p>
      <w:pPr>
        <w:ind w:left="0"/>
      </w:pPr>
    </w:p>
    <w:p>
      <w:pPr>
        <w:ind w:left="0"/>
        <w:rPr>
          <w:rFonts w:hint="eastAsia"/>
        </w:rPr>
      </w:pPr>
    </w:p>
    <w:tbl>
      <w:tblPr>
        <w:tblStyle w:val="TableGrid"/>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
      <w:tblGrid>
        <w:gridCol w:w="1155"/>
        <w:gridCol w:w="8485"/>
      </w:tblGrid>
      <w:tr>
        <w:tblPrEx>
          <w:tblW w:w="0" w:type="auto"/>
          <w:tblInd w:w="1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tblPrEx>
        <w:trPr>
          <w:trHeight w:val="634"/>
        </w:trPr>
        <w:tc>
          <w:tcPr>
            <w:tcW w:w="9640" w:type="dxa"/>
            <w:gridSpan w:val="2"/>
          </w:tcPr>
          <w:p>
            <w:pPr>
              <w:pStyle w:val="Cover2"/>
              <w:jc w:val="left"/>
              <w:rPr>
                <w:rFonts w:cs="Times New Roman"/>
                <w:lang w:eastAsia="zh-CN"/>
              </w:rPr>
            </w:pPr>
            <w:r>
              <w:t>Huawei Technologies Co., Ltd.</w:t>
            </w:r>
          </w:p>
        </w:tc>
      </w:tr>
      <w:tr>
        <w:tblPrEx>
          <w:tblW w:w="0" w:type="auto"/>
          <w:tblInd w:w="113" w:type="dxa"/>
          <w:tblLook w:val="01E0"/>
        </w:tblPrEx>
        <w:trPr>
          <w:trHeight w:val="371"/>
        </w:trPr>
        <w:tc>
          <w:tcPr>
            <w:tcW w:w="1155" w:type="dxa"/>
          </w:tcPr>
          <w:p>
            <w:pPr>
              <w:pStyle w:val="CoverText"/>
            </w:pPr>
            <w:r>
              <w:t>Address:</w:t>
            </w:r>
          </w:p>
        </w:tc>
        <w:tc>
          <w:tcPr>
            <w:tcW w:w="8485" w:type="dxa"/>
          </w:tcPr>
          <w:p>
            <w:pPr>
              <w:pStyle w:val="CoverText"/>
            </w:pPr>
            <w:r>
              <w:t>Huawei Industrial Base</w:t>
            </w:r>
          </w:p>
          <w:p>
            <w:pPr>
              <w:pStyle w:val="CoverText"/>
            </w:pPr>
            <w:r>
              <w:t>Bantian, Longgang</w:t>
            </w:r>
          </w:p>
          <w:p>
            <w:pPr>
              <w:pStyle w:val="CoverText"/>
            </w:pPr>
            <w:r>
              <w:t>Shenzhen 518129</w:t>
            </w:r>
          </w:p>
          <w:p>
            <w:pPr>
              <w:pStyle w:val="CoverText"/>
            </w:pPr>
            <w:r>
              <w:t>People's Republic of China</w:t>
            </w:r>
          </w:p>
        </w:tc>
      </w:tr>
      <w:tr>
        <w:tblPrEx>
          <w:tblW w:w="0" w:type="auto"/>
          <w:tblInd w:w="113" w:type="dxa"/>
          <w:tblLook w:val="01E0"/>
        </w:tblPrEx>
        <w:trPr>
          <w:trHeight w:val="337"/>
        </w:trPr>
        <w:tc>
          <w:tcPr>
            <w:tcW w:w="1155" w:type="dxa"/>
          </w:tcPr>
          <w:p>
            <w:pPr>
              <w:pStyle w:val="CoverText"/>
            </w:pPr>
            <w:r>
              <w:t>Website:</w:t>
            </w:r>
          </w:p>
        </w:tc>
        <w:tc>
          <w:tcPr>
            <w:tcW w:w="8485" w:type="dxa"/>
          </w:tcPr>
          <w:p>
            <w:pPr>
              <w:pStyle w:val="CoverText"/>
            </w:pPr>
            <w:hyperlink r:id="rId14" w:history="1">
              <w:r>
                <w:rPr>
                  <w:rStyle w:val="Hyperlink"/>
                  <w:lang w:val="pt-BR"/>
                </w:rPr>
                <w:t>https://e.huawei.com</w:t>
              </w:r>
            </w:hyperlink>
          </w:p>
        </w:tc>
      </w:tr>
    </w:tbl>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ind w:left="0"/>
        <w:rPr>
          <w:rFonts w:hint="eastAsia"/>
        </w:rPr>
      </w:pPr>
    </w:p>
    <w:p>
      <w:pPr>
        <w:pStyle w:val="TableText"/>
      </w:pPr>
      <w:r>
        <w:rPr>
          <w:rFonts w:hint="default"/>
        </w:rPr>
        <w:br w:type="page"/>
      </w:r>
    </w:p>
    <w:tbl>
      <w:tblPr>
        <w:tblW w:w="0" w:type="auto"/>
        <w:tblInd w:w="113" w:type="dxa"/>
        <w:tblLook w:val="01E0"/>
      </w:tblPr>
      <w:tblGrid>
        <w:gridCol w:w="9640"/>
      </w:tblGrid>
      <w:tr>
        <w:tblPrEx>
          <w:tblW w:w="0" w:type="auto"/>
          <w:tblInd w:w="113" w:type="dxa"/>
          <w:tblLook w:val="01E0"/>
        </w:tblPrEx>
        <w:trPr>
          <w:trHeight w:val="634"/>
        </w:trPr>
        <w:tc>
          <w:tcPr>
            <w:tcW w:w="9640" w:type="dxa"/>
            <w:shd w:val="clear" w:color="auto" w:fill="auto"/>
          </w:tcPr>
          <w:p>
            <w:pPr>
              <w:pStyle w:val="Cover2"/>
              <w:widowControl w:val="0"/>
              <w:jc w:val="both"/>
            </w:pPr>
            <w:r>
              <w:rPr>
                <w:lang w:eastAsia="zh-CN"/>
              </w:rPr>
              <w:t>Security Declaration</w:t>
            </w:r>
          </w:p>
        </w:tc>
      </w:tr>
      <w:tr>
        <w:tblPrEx>
          <w:tblW w:w="0" w:type="auto"/>
          <w:tblInd w:w="113" w:type="dxa"/>
          <w:tblLook w:val="01E0"/>
        </w:tblPrEx>
        <w:trPr>
          <w:trHeight w:val="337"/>
        </w:trPr>
        <w:tc>
          <w:tcPr>
            <w:tcW w:w="9640" w:type="dxa"/>
            <w:shd w:val="clear" w:color="auto" w:fill="auto"/>
          </w:tcPr>
          <w:p>
            <w:pPr>
              <w:pStyle w:val="Cover3"/>
              <w:jc w:val="both"/>
            </w:pPr>
            <w:r>
              <w:rPr>
                <w:rFonts w:hint="eastAsia"/>
                <w:b/>
              </w:rPr>
              <w:t>Product Lifecycle</w:t>
            </w:r>
          </w:p>
          <w:p>
            <w:pPr>
              <w:pStyle w:val="CoverText"/>
              <w:widowControl w:val="0"/>
              <w:ind w:left="0"/>
              <w:jc w:val="both"/>
            </w:pPr>
            <w:r>
              <w:t xml:space="preserve">Huawei's regulations on product lifecycle are subject to the </w:t>
            </w:r>
            <w:r>
              <w:rPr>
                <w:i/>
              </w:rPr>
              <w:t>Product End of Life Policy</w:t>
            </w:r>
            <w:r>
              <w:t>. For details about this policy, visit the following web page:</w:t>
            </w:r>
          </w:p>
          <w:p>
            <w:pPr>
              <w:pStyle w:val="CoverText"/>
              <w:widowControl w:val="0"/>
            </w:pPr>
            <w:hyperlink r:id="rId15" w:history="1">
              <w:r>
                <w:rPr>
                  <w:rStyle w:val="Hyperlink"/>
                </w:rPr>
                <w:t>https://support.huawei.com/ecolumnsweb/en/warranty-policy</w:t>
              </w:r>
            </w:hyperlink>
          </w:p>
          <w:p>
            <w:pPr>
              <w:pStyle w:val="CoverText"/>
              <w:widowControl w:val="0"/>
            </w:pPr>
          </w:p>
          <w:p>
            <w:pPr>
              <w:pStyle w:val="Cover3"/>
              <w:jc w:val="both"/>
            </w:pPr>
            <w:r>
              <w:rPr>
                <w:rFonts w:hint="eastAsia"/>
                <w:b/>
              </w:rPr>
              <w:t>Vulnerability</w:t>
            </w:r>
          </w:p>
          <w:p>
            <w:pPr>
              <w:pStyle w:val="CoverText"/>
              <w:widowControl w:val="0"/>
              <w:ind w:left="0"/>
              <w:jc w:val="both"/>
            </w:pPr>
            <w:r>
              <w:t xml:space="preserve">Huawei's regulations on product vulnerability management are subject to the </w:t>
            </w:r>
            <w:r>
              <w:rPr>
                <w:i/>
              </w:rPr>
              <w:t>Vul. Response Process.</w:t>
            </w:r>
            <w:r>
              <w:t xml:space="preserve"> For details about this process, visit the following web page:</w:t>
            </w:r>
          </w:p>
          <w:p>
            <w:pPr>
              <w:pStyle w:val="CoverText"/>
              <w:widowControl w:val="0"/>
              <w:ind w:left="0"/>
              <w:jc w:val="both"/>
            </w:pPr>
            <w:hyperlink r:id="rId16" w:history="1">
              <w:r>
                <w:rPr>
                  <w:rStyle w:val="Hyperlink"/>
                </w:rPr>
                <w:t>https://www.huawei.com/en/psirt/vul-response-process</w:t>
              </w:r>
            </w:hyperlink>
          </w:p>
          <w:p>
            <w:pPr>
              <w:pStyle w:val="CoverText"/>
              <w:widowControl w:val="0"/>
              <w:ind w:left="0"/>
              <w:jc w:val="both"/>
            </w:pPr>
            <w:r>
              <w:t>For vulnerability information, enterprise customers can visit the following web page:</w:t>
            </w:r>
          </w:p>
          <w:p>
            <w:pPr>
              <w:pStyle w:val="CoverText"/>
              <w:widowControl w:val="0"/>
            </w:pPr>
            <w:hyperlink r:id="rId17" w:history="1">
              <w:r>
                <w:rPr>
                  <w:rStyle w:val="Hyperlink"/>
                </w:rPr>
                <w:t>https://securitybulletin.huawei.com/enterprise/en/security-advisory</w:t>
              </w:r>
            </w:hyperlink>
          </w:p>
          <w:p>
            <w:pPr>
              <w:pStyle w:val="CoverText"/>
              <w:widowControl w:val="0"/>
            </w:pPr>
          </w:p>
          <w:p>
            <w:pPr>
              <w:pStyle w:val="Cover3"/>
              <w:jc w:val="both"/>
            </w:pPr>
            <w:r>
              <w:rPr>
                <w:rFonts w:hint="eastAsia"/>
                <w:b/>
              </w:rPr>
              <w:t>Initial Digital Certificate</w:t>
            </w:r>
          </w:p>
          <w:p>
            <w:pPr>
              <w:pStyle w:val="CoverText"/>
              <w:widowControl w:val="0"/>
              <w:ind w:left="0"/>
              <w:jc w:val="both"/>
            </w:pPr>
            <w:r>
              <w:t xml:space="preserve">The Initial digital certificates on Huawei devices are subject to the </w:t>
            </w:r>
            <w:r>
              <w:rPr>
                <w:i/>
              </w:rPr>
              <w:t>Rights and Responsibilities of Initial Digital Certificates on Huawei Devices.</w:t>
            </w:r>
            <w:r>
              <w:t xml:space="preserve"> For details about this document, visit the following web page:</w:t>
            </w:r>
          </w:p>
          <w:p>
            <w:pPr>
              <w:pStyle w:val="CoverText"/>
              <w:widowControl w:val="0"/>
            </w:pPr>
            <w:hyperlink r:id="rId18" w:history="1">
              <w:r>
                <w:rPr>
                  <w:rStyle w:val="Hyperlink"/>
                </w:rPr>
                <w:t>https://support.huawei.com/enterprise/en/bulletins-service/ENEWS2000015789</w:t>
              </w:r>
            </w:hyperlink>
          </w:p>
          <w:p>
            <w:pPr>
              <w:pStyle w:val="CoverText"/>
              <w:widowControl w:val="0"/>
            </w:pPr>
          </w:p>
          <w:p>
            <w:pPr>
              <w:pStyle w:val="Cover3"/>
              <w:jc w:val="both"/>
            </w:pPr>
            <w:r>
              <w:rPr>
                <w:rFonts w:hint="eastAsia"/>
                <w:b/>
              </w:rPr>
              <w:t>Huawei Enterprise End User License Agreement</w:t>
            </w:r>
          </w:p>
          <w:p>
            <w:pPr>
              <w:pStyle w:val="CoverText"/>
              <w:widowControl w:val="0"/>
              <w:ind w:left="0"/>
              <w:jc w:val="both"/>
            </w:pPr>
            <w:r>
              <w:t>This agreement is the end user license agreement between you (an individual, company, or any other entity) and Huawei for the use of the Huawei Software. Your use of the Huawei Software will be deemed as your acceptance of the terms mentioned in this agreement. For details about this agreement, visit the following web page:</w:t>
            </w:r>
          </w:p>
          <w:p>
            <w:pPr>
              <w:pStyle w:val="CoverText"/>
              <w:widowControl w:val="0"/>
            </w:pPr>
            <w:hyperlink r:id="rId19" w:history="1">
              <w:r>
                <w:rPr>
                  <w:rStyle w:val="Hyperlink"/>
                </w:rPr>
                <w:t>https://e.huawei.com/en/about/eula</w:t>
              </w:r>
            </w:hyperlink>
          </w:p>
          <w:p>
            <w:pPr>
              <w:pStyle w:val="CoverText"/>
              <w:widowControl w:val="0"/>
            </w:pPr>
          </w:p>
          <w:p>
            <w:pPr>
              <w:pStyle w:val="Cover3"/>
              <w:jc w:val="both"/>
            </w:pPr>
            <w:r>
              <w:rPr>
                <w:rFonts w:hint="eastAsia"/>
                <w:b/>
              </w:rPr>
              <w:t>Lifecycle of Product Documentation</w:t>
            </w:r>
          </w:p>
          <w:p>
            <w:pPr>
              <w:pStyle w:val="CoverText"/>
              <w:widowControl w:val="0"/>
              <w:ind w:left="0"/>
              <w:jc w:val="both"/>
            </w:pPr>
            <w:r>
              <w:t xml:space="preserve">Huawei after-sales user documentation is subject to the </w:t>
            </w:r>
            <w:r>
              <w:rPr>
                <w:i/>
              </w:rPr>
              <w:t xml:space="preserve">Product Documentation Lifecycle Policy. </w:t>
            </w:r>
            <w:r>
              <w:t>For details about this policy, visit the following web page:</w:t>
            </w:r>
          </w:p>
          <w:p>
            <w:pPr>
              <w:pStyle w:val="CoverText"/>
              <w:widowControl w:val="0"/>
            </w:pPr>
            <w:hyperlink r:id="rId20" w:history="1">
              <w:r>
                <w:rPr>
                  <w:rStyle w:val="Hyperlink"/>
                  <w:rFonts w:hint="eastAsia"/>
                </w:rPr>
                <w:t>https://support.huawei.com/enterprise/en/bulletins-website/ENEWS200001776</w:t>
              </w:r>
              <w:r>
                <w:rPr>
                  <w:rStyle w:val="Hyperlink"/>
                </w:rPr>
                <w:t>1</w:t>
              </w:r>
            </w:hyperlink>
          </w:p>
        </w:tc>
      </w:tr>
    </w:tbl>
    <w:p>
      <w:pPr>
        <w:sectPr>
          <w:headerReference w:type="even" r:id="rId21"/>
          <w:headerReference w:type="default" r:id="rId22"/>
          <w:footerReference w:type="even" r:id="rId23"/>
          <w:footerReference w:type="default" r:id="rId24"/>
          <w:type w:val="nextPage"/>
          <w:pgSz w:w="11907" w:h="16840" w:code="9"/>
          <w:pgMar w:top="1701" w:right="1134" w:bottom="1701" w:left="1134" w:header="567" w:footer="567" w:gutter="0"/>
          <w:pgNumType w:fmt="lowerRoman" w:start="1"/>
          <w:cols w:space="425"/>
          <w:docGrid w:linePitch="312"/>
        </w:sectPr>
      </w:pPr>
    </w:p>
    <w:p>
      <w:pPr>
        <w:pStyle w:val="Heading1NoNumber"/>
      </w:pPr>
      <w:bookmarkStart w:id="0" w:name="_EN-US_TOPIC_0000002043010149-chtext"/>
      <w:bookmarkStart w:id="1" w:name="_Toc256000000"/>
      <w:r>
        <w:t>Change History</w:t>
      </w:r>
      <w:bookmarkEnd w:id="1"/>
      <w:bookmarkEnd w:id="0"/>
    </w:p>
    <w:tbl>
      <w:tblPr>
        <w:tblStyle w:val="Table"/>
        <w:tblW w:w="7938" w:type="dxa"/>
        <w:tblInd w:w="1814" w:type="dxa"/>
        <w:tblLayout w:type="fixed"/>
        <w:tblLook w:val="01E0"/>
      </w:tblPr>
      <w:tblGrid>
        <w:gridCol w:w="1043"/>
        <w:gridCol w:w="3609"/>
        <w:gridCol w:w="3286"/>
      </w:tblGrid>
      <w:tr>
        <w:tblPrEx>
          <w:tblW w:w="7938" w:type="dxa"/>
          <w:tblInd w:w="1814" w:type="dxa"/>
          <w:tblLayout w:type="fixed"/>
          <w:tblLook w:val="01E0"/>
        </w:tblPrEx>
        <w:trPr>
          <w:cantSplit w:val="0"/>
          <w:tblHeader/>
        </w:trPr>
        <w:tc>
          <w:tcPr>
            <w:tcW w:w="657" w:type="pct"/>
            <w:tcBorders>
              <w:top w:val="single" w:sz="6" w:space="0" w:color="000000"/>
              <w:bottom w:val="single" w:sz="6" w:space="0" w:color="000000"/>
              <w:right w:val="single" w:sz="6" w:space="0" w:color="000000"/>
            </w:tcBorders>
            <w:shd w:val="clear" w:color="auto" w:fill="D9D9D9"/>
          </w:tcPr>
          <w:p>
            <w:pPr>
              <w:pStyle w:val="TableHeading"/>
            </w:pPr>
            <w:r>
              <w:t>Issue</w:t>
            </w:r>
          </w:p>
        </w:tc>
        <w:tc>
          <w:tcPr>
            <w:tcW w:w="2273" w:type="pct"/>
            <w:tcBorders>
              <w:top w:val="single" w:sz="6" w:space="0" w:color="000000"/>
              <w:bottom w:val="single" w:sz="6" w:space="0" w:color="000000"/>
              <w:right w:val="single" w:sz="6" w:space="0" w:color="000000"/>
            </w:tcBorders>
            <w:shd w:val="clear" w:color="auto" w:fill="D9D9D9"/>
          </w:tcPr>
          <w:p>
            <w:pPr>
              <w:pStyle w:val="TableHeading"/>
            </w:pPr>
            <w:r>
              <w:t>Date</w:t>
            </w:r>
          </w:p>
        </w:tc>
        <w:tc>
          <w:tcPr>
            <w:tcW w:w="2071"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657" w:type="pct"/>
            <w:tcBorders>
              <w:top w:val="single" w:sz="6" w:space="0" w:color="000000"/>
              <w:bottom w:val="single" w:sz="6" w:space="0" w:color="000000"/>
              <w:right w:val="single" w:sz="6" w:space="0" w:color="000000"/>
            </w:tcBorders>
          </w:tcPr>
          <w:p>
            <w:pPr>
              <w:pStyle w:val="TableText"/>
            </w:pPr>
            <w:r>
              <w:t>01</w:t>
            </w:r>
          </w:p>
        </w:tc>
        <w:tc>
          <w:tcPr>
            <w:tcW w:w="2273" w:type="pct"/>
            <w:tcBorders>
              <w:top w:val="single" w:sz="6" w:space="0" w:color="000000"/>
              <w:bottom w:val="single" w:sz="6" w:space="0" w:color="000000"/>
              <w:right w:val="single" w:sz="6" w:space="0" w:color="000000"/>
            </w:tcBorders>
          </w:tcPr>
          <w:p>
            <w:pPr>
              <w:pStyle w:val="TableText"/>
            </w:pPr>
            <w:r>
              <w:t>2024-12-30</w:t>
            </w:r>
          </w:p>
        </w:tc>
        <w:tc>
          <w:tcPr>
            <w:tcW w:w="2071" w:type="pct"/>
            <w:tcBorders>
              <w:top w:val="single" w:sz="6" w:space="0" w:color="000000"/>
              <w:bottom w:val="single" w:sz="6" w:space="0" w:color="000000"/>
            </w:tcBorders>
          </w:tcPr>
          <w:p>
            <w:pPr>
              <w:pStyle w:val="TableText"/>
            </w:pPr>
            <w:r>
              <w:t>This issue is the first official release.</w:t>
            </w:r>
          </w:p>
        </w:tc>
      </w:tr>
    </w:tbl>
    <w:p>
      <w:pPr>
        <w:sectPr>
          <w:headerReference w:type="even" r:id="rId25"/>
          <w:headerReference w:type="default" r:id="rId26"/>
          <w:footerReference w:type="even" r:id="rId27"/>
          <w:footerReference w:type="default" r:id="rId28"/>
          <w:type w:val="nextPage"/>
          <w:pgSz w:w="11907" w:h="16840" w:code="9"/>
          <w:pgMar w:top="1701" w:right="1134" w:bottom="1701" w:left="1134" w:header="567" w:footer="567" w:gutter="0"/>
          <w:pgNumType w:fmt="lowerRoman"/>
          <w:cols w:space="425"/>
          <w:docGrid w:linePitch="312"/>
        </w:sectPr>
      </w:pPr>
    </w:p>
    <w:p>
      <w:pPr>
        <w:pStyle w:val="Contents"/>
      </w:pPr>
      <w:r>
        <w:t>Contents</w:t>
      </w:r>
    </w:p>
    <w:p>
      <w:pPr>
        <w:pStyle w:val="TOC1"/>
        <w:tabs>
          <w:tab w:val="right" w:leader="dot" w:pos="9629"/>
        </w:tabs>
        <w:rPr>
          <w:rFonts w:ascii="Calibri" w:hAnsi="Calibri"/>
          <w:noProof/>
          <w:sz w:val="22"/>
        </w:rPr>
      </w:pPr>
      <w:r>
        <w:fldChar w:fldCharType="begin"/>
      </w:r>
      <w:r>
        <w:instrText xml:space="preserve"> TOC \h \z \t "标题 1,1,标题 2,2,标题 3,3, 标题 4,4, 标题 5,5, 标题 7,1, 标题 8,2, 标题 9,3, Heading1 No Number,1,Appendix heading 1,1,Appendix heading 2,2,Appendix heading 3,3,Appendix heading 4,4,Appendix heading 5,5, Heading 1,1,Heading 2,2,Heading 3,3, Heading 4,4, Heading 5,5, Heading 7,1,Heading 8,2,Heading 9,3" </w:instrText>
      </w:r>
      <w:r>
        <w:fldChar w:fldCharType="separate"/>
      </w:r>
      <w:hyperlink w:anchor="_Toc256000000" w:history="1">
        <w:r>
          <w:rPr>
            <w:rStyle w:val="Hyperlink"/>
          </w:rPr>
          <w:t>Change History</w:t>
        </w:r>
        <w:r>
          <w:tab/>
        </w:r>
        <w:r>
          <w:fldChar w:fldCharType="begin"/>
        </w:r>
        <w:r>
          <w:instrText xml:space="preserve"> PAGEREF _Toc256000000 \h </w:instrText>
        </w:r>
        <w:r>
          <w:fldChar w:fldCharType="separate"/>
        </w:r>
        <w:r>
          <w:t>iii</w:t>
        </w:r>
        <w:r>
          <w:fldChar w:fldCharType="end"/>
        </w:r>
      </w:hyperlink>
    </w:p>
    <w:p>
      <w:pPr>
        <w:pStyle w:val="TOC1"/>
        <w:tabs>
          <w:tab w:val="right" w:leader="dot" w:pos="9629"/>
        </w:tabs>
        <w:rPr>
          <w:rFonts w:ascii="Calibri" w:hAnsi="Calibri"/>
          <w:noProof/>
          <w:sz w:val="22"/>
        </w:rPr>
      </w:pPr>
      <w:hyperlink w:anchor="_Toc256000001" w:history="1">
        <w:r>
          <w:rPr>
            <w:rStyle w:val="Hyperlink"/>
          </w:rPr>
          <w:t>1</w:t>
        </w:r>
        <w:r>
          <w:rPr>
            <w:rStyle w:val="Hyperlink"/>
          </w:rPr>
          <w:t xml:space="preserve"> </w:t>
        </w:r>
        <w:r>
          <w:rPr>
            <w:rStyle w:val="Hyperlink"/>
          </w:rPr>
          <w:t>Version Requirements</w:t>
        </w:r>
        <w:r>
          <w:tab/>
        </w:r>
        <w:r>
          <w:fldChar w:fldCharType="begin"/>
        </w:r>
        <w:r>
          <w:instrText xml:space="preserve"> PAGEREF _Toc256000001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2" w:history="1">
        <w:r>
          <w:rPr>
            <w:rStyle w:val="Hyperlink"/>
            <w:snapToGrid w:val="0"/>
          </w:rPr>
          <w:t>1.1</w:t>
        </w:r>
        <w:r>
          <w:rPr>
            <w:rStyle w:val="Hyperlink"/>
            <w:snapToGrid w:val="0"/>
          </w:rPr>
          <w:t xml:space="preserve"> </w:t>
        </w:r>
        <w:r>
          <w:rPr>
            <w:rStyle w:val="Hyperlink"/>
          </w:rPr>
          <w:t>Product Version</w:t>
        </w:r>
        <w:r>
          <w:tab/>
        </w:r>
        <w:r>
          <w:fldChar w:fldCharType="begin"/>
        </w:r>
        <w:r>
          <w:instrText xml:space="preserve"> PAGEREF _Toc256000002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3" w:history="1">
        <w:r>
          <w:rPr>
            <w:rStyle w:val="Hyperlink"/>
            <w:snapToGrid w:val="0"/>
          </w:rPr>
          <w:t>1.2</w:t>
        </w:r>
        <w:r>
          <w:rPr>
            <w:rStyle w:val="Hyperlink"/>
            <w:snapToGrid w:val="0"/>
          </w:rPr>
          <w:t xml:space="preserve"> </w:t>
        </w:r>
        <w:r>
          <w:rPr>
            <w:rStyle w:val="Hyperlink"/>
          </w:rPr>
          <w:t>Software Versions</w:t>
        </w:r>
        <w:r>
          <w:tab/>
        </w:r>
        <w:r>
          <w:fldChar w:fldCharType="begin"/>
        </w:r>
        <w:r>
          <w:instrText xml:space="preserve"> PAGEREF _Toc256000003 \h </w:instrText>
        </w:r>
        <w:r>
          <w:fldChar w:fldCharType="separate"/>
        </w:r>
        <w:r>
          <w:t>1</w:t>
        </w:r>
        <w:r>
          <w:fldChar w:fldCharType="end"/>
        </w:r>
      </w:hyperlink>
    </w:p>
    <w:p>
      <w:pPr>
        <w:pStyle w:val="TOC2"/>
        <w:tabs>
          <w:tab w:val="right" w:leader="dot" w:pos="9629"/>
        </w:tabs>
        <w:rPr>
          <w:rFonts w:ascii="Calibri" w:hAnsi="Calibri"/>
          <w:noProof/>
          <w:sz w:val="22"/>
        </w:rPr>
      </w:pPr>
      <w:hyperlink w:anchor="_Toc256000004" w:history="1">
        <w:r>
          <w:rPr>
            <w:rStyle w:val="Hyperlink"/>
            <w:snapToGrid w:val="0"/>
          </w:rPr>
          <w:t>1.3</w:t>
        </w:r>
        <w:r>
          <w:rPr>
            <w:rStyle w:val="Hyperlink"/>
            <w:snapToGrid w:val="0"/>
          </w:rPr>
          <w:t xml:space="preserve"> </w:t>
        </w:r>
        <w:r>
          <w:rPr>
            <w:rStyle w:val="Hyperlink"/>
          </w:rPr>
          <w:t>Virus Scan Result</w:t>
        </w:r>
        <w:r>
          <w:tab/>
        </w:r>
        <w:r>
          <w:fldChar w:fldCharType="begin"/>
        </w:r>
        <w:r>
          <w:instrText xml:space="preserve"> PAGEREF _Toc256000004 \h </w:instrText>
        </w:r>
        <w:r>
          <w:fldChar w:fldCharType="separate"/>
        </w:r>
        <w:r>
          <w:t>2</w:t>
        </w:r>
        <w:r>
          <w:fldChar w:fldCharType="end"/>
        </w:r>
      </w:hyperlink>
    </w:p>
    <w:p>
      <w:pPr>
        <w:pStyle w:val="TOC1"/>
        <w:tabs>
          <w:tab w:val="right" w:leader="dot" w:pos="9629"/>
        </w:tabs>
        <w:rPr>
          <w:rFonts w:ascii="Calibri" w:hAnsi="Calibri"/>
          <w:noProof/>
          <w:sz w:val="22"/>
        </w:rPr>
      </w:pPr>
      <w:hyperlink w:anchor="_Toc256000005" w:history="1">
        <w:r>
          <w:rPr>
            <w:rStyle w:val="Hyperlink"/>
          </w:rPr>
          <w:t>2</w:t>
        </w:r>
        <w:r>
          <w:rPr>
            <w:rStyle w:val="Hyperlink"/>
          </w:rPr>
          <w:t xml:space="preserve"> </w:t>
        </w:r>
        <w:r>
          <w:rPr>
            <w:rStyle w:val="Hyperlink"/>
          </w:rPr>
          <w:t>Version Compatibility</w:t>
        </w:r>
        <w:r>
          <w:tab/>
        </w:r>
        <w:r>
          <w:fldChar w:fldCharType="begin"/>
        </w:r>
        <w:r>
          <w:instrText xml:space="preserve"> PAGEREF _Toc256000005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6" w:history="1">
        <w:r>
          <w:rPr>
            <w:rStyle w:val="Hyperlink"/>
            <w:snapToGrid w:val="0"/>
          </w:rPr>
          <w:t>2.1</w:t>
        </w:r>
        <w:r>
          <w:rPr>
            <w:rStyle w:val="Hyperlink"/>
            <w:snapToGrid w:val="0"/>
          </w:rPr>
          <w:t xml:space="preserve"> </w:t>
        </w:r>
        <w:r>
          <w:rPr>
            <w:rStyle w:val="Hyperlink"/>
          </w:rPr>
          <w:t>Software Version Compatibility</w:t>
        </w:r>
        <w:r>
          <w:tab/>
        </w:r>
        <w:r>
          <w:fldChar w:fldCharType="begin"/>
        </w:r>
        <w:r>
          <w:instrText xml:space="preserve"> PAGEREF _Toc256000006 \h </w:instrText>
        </w:r>
        <w:r>
          <w:fldChar w:fldCharType="separate"/>
        </w:r>
        <w:r>
          <w:t>4</w:t>
        </w:r>
        <w:r>
          <w:fldChar w:fldCharType="end"/>
        </w:r>
      </w:hyperlink>
    </w:p>
    <w:p>
      <w:pPr>
        <w:pStyle w:val="TOC2"/>
        <w:tabs>
          <w:tab w:val="right" w:leader="dot" w:pos="9629"/>
        </w:tabs>
        <w:rPr>
          <w:rFonts w:ascii="Calibri" w:hAnsi="Calibri"/>
          <w:noProof/>
          <w:sz w:val="22"/>
        </w:rPr>
      </w:pPr>
      <w:hyperlink w:anchor="_Toc256000007" w:history="1">
        <w:r>
          <w:rPr>
            <w:rStyle w:val="Hyperlink"/>
            <w:snapToGrid w:val="0"/>
          </w:rPr>
          <w:t>2.2</w:t>
        </w:r>
        <w:r>
          <w:rPr>
            <w:rStyle w:val="Hyperlink"/>
            <w:snapToGrid w:val="0"/>
          </w:rPr>
          <w:t xml:space="preserve"> </w:t>
        </w:r>
        <w:r>
          <w:rPr>
            <w:rStyle w:val="Hyperlink"/>
          </w:rPr>
          <w:t>Hardware Version Compatibility</w:t>
        </w:r>
        <w:r>
          <w:tab/>
        </w:r>
        <w:r>
          <w:fldChar w:fldCharType="begin"/>
        </w:r>
        <w:r>
          <w:instrText xml:space="preserve"> PAGEREF _Toc256000007 \h </w:instrText>
        </w:r>
        <w:r>
          <w:fldChar w:fldCharType="separate"/>
        </w:r>
        <w:r>
          <w:t>4</w:t>
        </w:r>
        <w:r>
          <w:fldChar w:fldCharType="end"/>
        </w:r>
      </w:hyperlink>
    </w:p>
    <w:p>
      <w:pPr>
        <w:pStyle w:val="TOC1"/>
        <w:tabs>
          <w:tab w:val="right" w:leader="dot" w:pos="9629"/>
        </w:tabs>
        <w:rPr>
          <w:rFonts w:ascii="Calibri" w:hAnsi="Calibri"/>
          <w:noProof/>
          <w:sz w:val="22"/>
        </w:rPr>
      </w:pPr>
      <w:hyperlink w:anchor="_Toc256000008" w:history="1">
        <w:r>
          <w:rPr>
            <w:rStyle w:val="Hyperlink"/>
          </w:rPr>
          <w:t>3</w:t>
        </w:r>
        <w:r>
          <w:rPr>
            <w:rStyle w:val="Hyperlink"/>
          </w:rPr>
          <w:t xml:space="preserve"> </w:t>
        </w:r>
        <w:r>
          <w:rPr>
            <w:rStyle w:val="Hyperlink"/>
          </w:rPr>
          <w:t>Important Notes</w:t>
        </w:r>
        <w:r>
          <w:tab/>
        </w:r>
        <w:r>
          <w:fldChar w:fldCharType="begin"/>
        </w:r>
        <w:r>
          <w:instrText xml:space="preserve"> PAGEREF _Toc256000008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09" w:history="1">
        <w:r>
          <w:rPr>
            <w:rStyle w:val="Hyperlink"/>
            <w:snapToGrid w:val="0"/>
          </w:rPr>
          <w:t>3.1</w:t>
        </w:r>
        <w:r>
          <w:rPr>
            <w:rStyle w:val="Hyperlink"/>
            <w:snapToGrid w:val="0"/>
          </w:rPr>
          <w:t xml:space="preserve"> </w:t>
        </w:r>
        <w:r>
          <w:rPr>
            <w:rStyle w:val="Hyperlink"/>
          </w:rPr>
          <w:t>Hardware Operations</w:t>
        </w:r>
        <w:r>
          <w:tab/>
        </w:r>
        <w:r>
          <w:fldChar w:fldCharType="begin"/>
        </w:r>
        <w:r>
          <w:instrText xml:space="preserve"> PAGEREF _Toc256000009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0" w:history="1">
        <w:r>
          <w:rPr>
            <w:rStyle w:val="Hyperlink"/>
            <w:snapToGrid w:val="0"/>
          </w:rPr>
          <w:t>3.2</w:t>
        </w:r>
        <w:r>
          <w:rPr>
            <w:rStyle w:val="Hyperlink"/>
            <w:snapToGrid w:val="0"/>
          </w:rPr>
          <w:t xml:space="preserve"> </w:t>
        </w:r>
        <w:r>
          <w:rPr>
            <w:rStyle w:val="Hyperlink"/>
          </w:rPr>
          <w:t>System Management</w:t>
        </w:r>
        <w:r>
          <w:tab/>
        </w:r>
        <w:r>
          <w:fldChar w:fldCharType="begin"/>
        </w:r>
        <w:r>
          <w:instrText xml:space="preserve"> PAGEREF _Toc256000010 \h </w:instrText>
        </w:r>
        <w:r>
          <w:fldChar w:fldCharType="separate"/>
        </w:r>
        <w:r>
          <w:t>6</w:t>
        </w:r>
        <w:r>
          <w:fldChar w:fldCharType="end"/>
        </w:r>
      </w:hyperlink>
    </w:p>
    <w:p>
      <w:pPr>
        <w:pStyle w:val="TOC2"/>
        <w:tabs>
          <w:tab w:val="right" w:leader="dot" w:pos="9629"/>
        </w:tabs>
        <w:rPr>
          <w:rFonts w:ascii="Calibri" w:hAnsi="Calibri"/>
          <w:noProof/>
          <w:sz w:val="22"/>
        </w:rPr>
      </w:pPr>
      <w:hyperlink w:anchor="_Toc256000011" w:history="1">
        <w:r>
          <w:rPr>
            <w:rStyle w:val="Hyperlink"/>
            <w:snapToGrid w:val="0"/>
          </w:rPr>
          <w:t>3.3</w:t>
        </w:r>
        <w:r>
          <w:rPr>
            <w:rStyle w:val="Hyperlink"/>
            <w:snapToGrid w:val="0"/>
          </w:rPr>
          <w:t xml:space="preserve"> </w:t>
        </w:r>
        <w:r>
          <w:rPr>
            <w:rStyle w:val="Hyperlink"/>
          </w:rPr>
          <w:t>Service Operations</w:t>
        </w:r>
        <w:r>
          <w:tab/>
        </w:r>
        <w:r>
          <w:fldChar w:fldCharType="begin"/>
        </w:r>
        <w:r>
          <w:instrText xml:space="preserve"> PAGEREF _Toc256000011 \h </w:instrText>
        </w:r>
        <w:r>
          <w:fldChar w:fldCharType="separate"/>
        </w:r>
        <w:r>
          <w:t>7</w:t>
        </w:r>
        <w:r>
          <w:fldChar w:fldCharType="end"/>
        </w:r>
      </w:hyperlink>
    </w:p>
    <w:p>
      <w:pPr>
        <w:pStyle w:val="TOC1"/>
        <w:tabs>
          <w:tab w:val="right" w:leader="dot" w:pos="9629"/>
        </w:tabs>
        <w:rPr>
          <w:rFonts w:ascii="Calibri" w:hAnsi="Calibri"/>
          <w:noProof/>
          <w:sz w:val="22"/>
        </w:rPr>
      </w:pPr>
      <w:hyperlink w:anchor="_Toc256000012" w:history="1">
        <w:r>
          <w:rPr>
            <w:rStyle w:val="Hyperlink"/>
          </w:rPr>
          <w:t>4</w:t>
        </w:r>
        <w:r>
          <w:rPr>
            <w:rStyle w:val="Hyperlink"/>
          </w:rPr>
          <w:t xml:space="preserve"> </w:t>
        </w:r>
        <w:r>
          <w:rPr>
            <w:rStyle w:val="Hyperlink"/>
          </w:rPr>
          <w:t>V700R001C00SPC200</w:t>
        </w:r>
        <w:r>
          <w:tab/>
        </w:r>
        <w:r>
          <w:fldChar w:fldCharType="begin"/>
        </w:r>
        <w:r>
          <w:instrText xml:space="preserve"> PAGEREF _Toc256000012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3" w:history="1">
        <w:r>
          <w:rPr>
            <w:rStyle w:val="Hyperlink"/>
            <w:snapToGrid w:val="0"/>
          </w:rPr>
          <w:t>4.1</w:t>
        </w:r>
        <w:r>
          <w:rPr>
            <w:rStyle w:val="Hyperlink"/>
            <w:snapToGrid w:val="0"/>
          </w:rPr>
          <w:t xml:space="preserve"> </w:t>
        </w:r>
        <w:r>
          <w:rPr>
            <w:rStyle w:val="Hyperlink"/>
          </w:rPr>
          <w:t>What's New</w:t>
        </w:r>
        <w:r>
          <w:tab/>
        </w:r>
        <w:r>
          <w:fldChar w:fldCharType="begin"/>
        </w:r>
        <w:r>
          <w:instrText xml:space="preserve"> PAGEREF _Toc256000013 \h </w:instrText>
        </w:r>
        <w:r>
          <w:fldChar w:fldCharType="separate"/>
        </w:r>
        <w:r>
          <w:t>8</w:t>
        </w:r>
        <w:r>
          <w:fldChar w:fldCharType="end"/>
        </w:r>
      </w:hyperlink>
    </w:p>
    <w:p>
      <w:pPr>
        <w:pStyle w:val="TOC2"/>
        <w:tabs>
          <w:tab w:val="right" w:leader="dot" w:pos="9629"/>
        </w:tabs>
        <w:rPr>
          <w:rFonts w:ascii="Calibri" w:hAnsi="Calibri"/>
          <w:noProof/>
          <w:sz w:val="22"/>
        </w:rPr>
      </w:pPr>
      <w:hyperlink w:anchor="_Toc256000014" w:history="1">
        <w:r>
          <w:rPr>
            <w:rStyle w:val="Hyperlink"/>
            <w:snapToGrid w:val="0"/>
          </w:rPr>
          <w:t>4.2</w:t>
        </w:r>
        <w:r>
          <w:rPr>
            <w:rStyle w:val="Hyperlink"/>
            <w:snapToGrid w:val="0"/>
          </w:rPr>
          <w:t xml:space="preserve"> </w:t>
        </w:r>
        <w:r>
          <w:rPr>
            <w:rStyle w:val="Hyperlink"/>
          </w:rPr>
          <w:t>Resolved Issues</w:t>
        </w:r>
        <w:r>
          <w:tab/>
        </w:r>
        <w:r>
          <w:fldChar w:fldCharType="begin"/>
        </w:r>
        <w:r>
          <w:instrText xml:space="preserve"> PAGEREF _Toc256000014 \h </w:instrText>
        </w:r>
        <w:r>
          <w:fldChar w:fldCharType="separate"/>
        </w:r>
        <w:r>
          <w:t>9</w:t>
        </w:r>
        <w:r>
          <w:fldChar w:fldCharType="end"/>
        </w:r>
      </w:hyperlink>
    </w:p>
    <w:p>
      <w:pPr>
        <w:pStyle w:val="TOC2"/>
        <w:tabs>
          <w:tab w:val="right" w:leader="dot" w:pos="9629"/>
        </w:tabs>
        <w:rPr>
          <w:rFonts w:ascii="Calibri" w:hAnsi="Calibri"/>
          <w:noProof/>
          <w:sz w:val="22"/>
        </w:rPr>
      </w:pPr>
      <w:hyperlink w:anchor="_Toc256000015" w:history="1">
        <w:r>
          <w:rPr>
            <w:rStyle w:val="Hyperlink"/>
            <w:snapToGrid w:val="0"/>
          </w:rPr>
          <w:t>4.3</w:t>
        </w:r>
        <w:r>
          <w:rPr>
            <w:rStyle w:val="Hyperlink"/>
            <w:snapToGrid w:val="0"/>
          </w:rPr>
          <w:t xml:space="preserve"> </w:t>
        </w:r>
        <w:r>
          <w:rPr>
            <w:rStyle w:val="Hyperlink"/>
          </w:rPr>
          <w:t>Known Issues</w:t>
        </w:r>
        <w:r>
          <w:tab/>
        </w:r>
        <w:r>
          <w:fldChar w:fldCharType="begin"/>
        </w:r>
        <w:r>
          <w:instrText xml:space="preserve"> PAGEREF _Toc256000015 \h </w:instrText>
        </w:r>
        <w:r>
          <w:fldChar w:fldCharType="separate"/>
        </w:r>
        <w:r>
          <w:t>9</w:t>
        </w:r>
        <w:r>
          <w:fldChar w:fldCharType="end"/>
        </w:r>
      </w:hyperlink>
    </w:p>
    <w:p>
      <w:pPr>
        <w:pStyle w:val="TOC1"/>
        <w:tabs>
          <w:tab w:val="right" w:leader="dot" w:pos="9629"/>
        </w:tabs>
        <w:rPr>
          <w:rFonts w:ascii="Calibri" w:hAnsi="Calibri"/>
          <w:noProof/>
          <w:sz w:val="22"/>
        </w:rPr>
      </w:pPr>
      <w:hyperlink w:anchor="_Toc256000016" w:history="1">
        <w:r>
          <w:rPr>
            <w:rStyle w:val="Hyperlink"/>
          </w:rPr>
          <w:t>5</w:t>
        </w:r>
        <w:r>
          <w:rPr>
            <w:rStyle w:val="Hyperlink"/>
          </w:rPr>
          <w:t xml:space="preserve"> </w:t>
        </w:r>
        <w:r>
          <w:rPr>
            <w:rStyle w:val="Hyperlink"/>
          </w:rPr>
          <w:t>Related Documentation</w:t>
        </w:r>
        <w:r>
          <w:tab/>
        </w:r>
        <w:r>
          <w:fldChar w:fldCharType="begin"/>
        </w:r>
        <w:r>
          <w:instrText xml:space="preserve"> PAGEREF _Toc256000016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17" w:history="1">
        <w:r>
          <w:rPr>
            <w:rStyle w:val="Hyperlink"/>
            <w:snapToGrid w:val="0"/>
          </w:rPr>
          <w:t>5.1</w:t>
        </w:r>
        <w:r>
          <w:rPr>
            <w:rStyle w:val="Hyperlink"/>
            <w:snapToGrid w:val="0"/>
          </w:rPr>
          <w:t xml:space="preserve"> </w:t>
        </w:r>
        <w:r>
          <w:rPr>
            <w:rStyle w:val="Hyperlink"/>
          </w:rPr>
          <w:t>V700R001C00SPC200 Documentation</w:t>
        </w:r>
        <w:r>
          <w:tab/>
        </w:r>
        <w:r>
          <w:fldChar w:fldCharType="begin"/>
        </w:r>
        <w:r>
          <w:instrText xml:space="preserve"> PAGEREF _Toc256000017 \h </w:instrText>
        </w:r>
        <w:r>
          <w:fldChar w:fldCharType="separate"/>
        </w:r>
        <w:r>
          <w:t>10</w:t>
        </w:r>
        <w:r>
          <w:fldChar w:fldCharType="end"/>
        </w:r>
      </w:hyperlink>
    </w:p>
    <w:p>
      <w:pPr>
        <w:pStyle w:val="TOC2"/>
        <w:tabs>
          <w:tab w:val="right" w:leader="dot" w:pos="9629"/>
        </w:tabs>
        <w:rPr>
          <w:rFonts w:ascii="Calibri" w:hAnsi="Calibri"/>
          <w:noProof/>
          <w:sz w:val="22"/>
        </w:rPr>
      </w:pPr>
      <w:hyperlink w:anchor="_Toc256000018" w:history="1">
        <w:r>
          <w:rPr>
            <w:rStyle w:val="Hyperlink"/>
            <w:snapToGrid w:val="0"/>
          </w:rPr>
          <w:t>5.2</w:t>
        </w:r>
        <w:r>
          <w:rPr>
            <w:rStyle w:val="Hyperlink"/>
            <w:snapToGrid w:val="0"/>
          </w:rPr>
          <w:t xml:space="preserve"> </w:t>
        </w:r>
        <w:r>
          <w:rPr>
            <w:rStyle w:val="Hyperlink"/>
          </w:rPr>
          <w:t>Obtaining Documentation</w:t>
        </w:r>
        <w:r>
          <w:tab/>
        </w:r>
        <w:r>
          <w:fldChar w:fldCharType="begin"/>
        </w:r>
        <w:r>
          <w:instrText xml:space="preserve"> PAGEREF _Toc256000018 \h </w:instrText>
        </w:r>
        <w:r>
          <w:fldChar w:fldCharType="separate"/>
        </w:r>
        <w:r>
          <w:t>10</w:t>
        </w:r>
        <w:r>
          <w:fldChar w:fldCharType="end"/>
        </w:r>
      </w:hyperlink>
    </w:p>
    <w:p>
      <w:pPr>
        <w:pStyle w:val="TOC1"/>
        <w:tabs>
          <w:tab w:val="right" w:leader="dot" w:pos="9629"/>
        </w:tabs>
        <w:rPr>
          <w:rFonts w:ascii="Calibri" w:hAnsi="Calibri"/>
          <w:noProof/>
          <w:sz w:val="22"/>
        </w:rPr>
      </w:pPr>
      <w:hyperlink w:anchor="_Toc256000019" w:history="1">
        <w:r>
          <w:rPr>
            <w:rStyle w:val="Hyperlink"/>
          </w:rPr>
          <w:t>A</w:t>
        </w:r>
        <w:r>
          <w:rPr>
            <w:rStyle w:val="Hyperlink"/>
          </w:rPr>
          <w:t xml:space="preserve"> </w:t>
        </w:r>
        <w:r>
          <w:rPr>
            <w:rStyle w:val="Hyperlink"/>
          </w:rPr>
          <w:t>Analysis and Solutions for Vulnerabilities Detected by Third-Party Software</w:t>
        </w:r>
        <w:r>
          <w:tab/>
        </w:r>
        <w:r>
          <w:fldChar w:fldCharType="begin"/>
        </w:r>
        <w:r>
          <w:instrText xml:space="preserve"> PAGEREF _Toc256000019 \h </w:instrText>
        </w:r>
        <w:r>
          <w:fldChar w:fldCharType="separate"/>
        </w:r>
        <w:r>
          <w:t>12</w:t>
        </w:r>
        <w:r>
          <w:fldChar w:fldCharType="end"/>
        </w:r>
      </w:hyperlink>
    </w:p>
    <w:p>
      <w:pPr>
        <w:pStyle w:val="TOC1"/>
        <w:tabs>
          <w:tab w:val="right" w:leader="dot" w:pos="9629"/>
        </w:tabs>
        <w:rPr>
          <w:rFonts w:ascii="Calibri" w:hAnsi="Calibri"/>
          <w:noProof/>
          <w:sz w:val="22"/>
        </w:rPr>
      </w:pPr>
      <w:hyperlink w:anchor="_Toc256000020" w:history="1">
        <w:r>
          <w:rPr>
            <w:rStyle w:val="Hyperlink"/>
          </w:rPr>
          <w:t>B</w:t>
        </w:r>
        <w:r>
          <w:rPr>
            <w:rStyle w:val="Hyperlink"/>
          </w:rPr>
          <w:t xml:space="preserve"> </w:t>
        </w:r>
        <w:r>
          <w:rPr>
            <w:rStyle w:val="Hyperlink"/>
          </w:rPr>
          <w:t>Acronyms and Abbreviations</w:t>
        </w:r>
        <w:r>
          <w:tab/>
        </w:r>
        <w:r>
          <w:fldChar w:fldCharType="begin"/>
        </w:r>
        <w:r>
          <w:instrText xml:space="preserve"> PAGEREF _Toc256000020 \h </w:instrText>
        </w:r>
        <w:r>
          <w:fldChar w:fldCharType="separate"/>
        </w:r>
        <w:r>
          <w:t>19</w:t>
        </w:r>
        <w:r>
          <w:fldChar w:fldCharType="end"/>
        </w:r>
      </w:hyperlink>
    </w:p>
    <w:p>
      <w:pPr>
        <w:pStyle w:val="TOC1"/>
        <w:tabs>
          <w:tab w:val="right" w:leader="dot" w:pos="9629"/>
        </w:tabs>
        <w:sectPr>
          <w:headerReference w:type="even" r:id="rId29"/>
          <w:headerReference w:type="default" r:id="rId30"/>
          <w:footerReference w:type="even" r:id="rId31"/>
          <w:footerReference w:type="default" r:id="rId32"/>
          <w:headerReference w:type="first" r:id="rId33"/>
          <w:type w:val="nextPage"/>
          <w:pgSz w:w="11907" w:h="16840" w:code="9"/>
          <w:pgMar w:top="1701" w:right="1134" w:bottom="1701" w:left="1134" w:header="567" w:footer="567" w:gutter="0"/>
          <w:pgNumType w:fmt="lowerRoman"/>
          <w:cols w:space="425"/>
          <w:docGrid w:linePitch="312"/>
        </w:sectPr>
      </w:pPr>
      <w:r>
        <w:fldChar w:fldCharType="end"/>
      </w:r>
    </w:p>
    <w:bookmarkStart w:id="2" w:name="_EN-US_TOPIC_0000002007010062"/>
    <w:bookmarkEnd w:id="2"/>
    <w:p>
      <w:pPr>
        <w:pStyle w:val="Heading1"/>
      </w:pPr>
      <w:bookmarkStart w:id="3" w:name="_EN-US_TOPIC_0000002007010062-chtext"/>
      <w:bookmarkStart w:id="4" w:name="_Toc256000001"/>
      <w:r>
        <w:t>Version Requirements</w:t>
      </w:r>
      <w:bookmarkEnd w:id="4"/>
      <w:bookmarkEnd w:id="3"/>
    </w:p>
    <w:p>
      <w:r>
        <w:t>This chapter describes the version information about the OceanStor Dorado V700R001C00SPC200 storage systems.</w:t>
      </w:r>
    </w:p>
    <w:p>
      <w:hyperlink w:anchor="_EN-US_TOPIC_0000002007010346" w:tooltip=" " w:history="1">
        <w:r>
          <w:rPr>
            <w:rStyle w:val="Hyperlink"/>
          </w:rPr>
          <w:t>1.1  Product Version</w:t>
        </w:r>
      </w:hyperlink>
    </w:p>
    <w:p>
      <w:hyperlink w:anchor="_EN-US_TOPIC_0000002006852034" w:tooltip=" " w:history="1">
        <w:r>
          <w:rPr>
            <w:rStyle w:val="Hyperlink"/>
          </w:rPr>
          <w:t>1.2  Software Versions</w:t>
        </w:r>
      </w:hyperlink>
    </w:p>
    <w:p>
      <w:hyperlink w:anchor="_EN-US_TOPIC_0000002006851834" w:tooltip=" " w:history="1">
        <w:r>
          <w:rPr>
            <w:rStyle w:val="Hyperlink"/>
          </w:rPr>
          <w:t>1.3  Virus Scan Result</w:t>
        </w:r>
      </w:hyperlink>
    </w:p>
    <w:bookmarkStart w:id="5" w:name="_EN-US_TOPIC_0000002007010346"/>
    <w:bookmarkEnd w:id="5"/>
    <w:p>
      <w:pPr>
        <w:pStyle w:val="Heading2"/>
        <w:numPr>
          <w:numId w:val="44"/>
        </w:numPr>
      </w:pPr>
      <w:bookmarkStart w:id="6" w:name="_EN-US_TOPIC_0000002007010346-chtext"/>
      <w:bookmarkStart w:id="7" w:name="_Toc256000002"/>
      <w:r>
        <w:t>Product Version</w:t>
      </w:r>
      <w:bookmarkEnd w:id="7"/>
      <w:bookmarkEnd w:id="6"/>
    </w:p>
    <w:p>
      <w:r>
        <w:t>This section describes the version requirements of the OceanStor Dorado V700R001C00SPC200 storage systems.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1429"/>
        <w:gridCol w:w="6509"/>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Name</w:t>
            </w:r>
          </w:p>
        </w:tc>
        <w:tc>
          <w:tcPr>
            <w:tcW w:w="4100" w:type="pct"/>
            <w:tcBorders>
              <w:top w:val="single" w:sz="6" w:space="0" w:color="000000"/>
              <w:bottom w:val="single" w:sz="6" w:space="0" w:color="000000"/>
            </w:tcBorders>
          </w:tcPr>
          <w:p>
            <w:pPr>
              <w:pStyle w:val="TableText"/>
            </w:pPr>
            <w:r>
              <w:t>OceanStor Dorado</w:t>
            </w:r>
          </w:p>
        </w:tc>
      </w:tr>
      <w:tr>
        <w:tblPrEx>
          <w:tblW w:w="7938" w:type="dxa"/>
          <w:tblInd w:w="1814" w:type="dxa"/>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Model</w:t>
            </w:r>
          </w:p>
        </w:tc>
        <w:tc>
          <w:tcPr>
            <w:tcW w:w="4100" w:type="pct"/>
            <w:tcBorders>
              <w:top w:val="single" w:sz="6" w:space="0" w:color="000000"/>
              <w:bottom w:val="single" w:sz="6" w:space="0" w:color="000000"/>
            </w:tcBorders>
          </w:tcPr>
          <w:p>
            <w:pPr>
              <w:pStyle w:val="TableText"/>
            </w:pPr>
            <w:r>
              <w:t>OceanStor Dorado 3000, OceanStor Dorado 5000, OceanStor Dorado 6000, OceanStor Dorado 8000, OceanStor Dorado 18000</w:t>
            </w:r>
          </w:p>
        </w:tc>
      </w:tr>
      <w:tr>
        <w:tblPrEx>
          <w:tblW w:w="7938" w:type="dxa"/>
          <w:tblInd w:w="1814" w:type="dxa"/>
          <w:tblLayout w:type="fixed"/>
          <w:tblLook w:val="01E0"/>
        </w:tblPrEx>
        <w:trPr>
          <w:cantSplit w:val="0"/>
        </w:trPr>
        <w:tc>
          <w:tcPr>
            <w:tcW w:w="900" w:type="pct"/>
            <w:tcBorders>
              <w:top w:val="single" w:sz="6" w:space="0" w:color="000000"/>
              <w:bottom w:val="single" w:sz="6" w:space="0" w:color="000000"/>
              <w:right w:val="single" w:sz="6" w:space="0" w:color="000000"/>
            </w:tcBorders>
          </w:tcPr>
          <w:p>
            <w:pPr>
              <w:pStyle w:val="TableText"/>
            </w:pPr>
            <w:r>
              <w:t>Product Version</w:t>
            </w:r>
          </w:p>
        </w:tc>
        <w:tc>
          <w:tcPr>
            <w:tcW w:w="4100" w:type="pct"/>
            <w:tcBorders>
              <w:top w:val="single" w:sz="6" w:space="0" w:color="000000"/>
              <w:bottom w:val="single" w:sz="6" w:space="0" w:color="000000"/>
            </w:tcBorders>
          </w:tcPr>
          <w:p>
            <w:pPr>
              <w:pStyle w:val="TableText"/>
            </w:pPr>
            <w:r>
              <w:t>V700R001C00SPC200</w:t>
            </w:r>
          </w:p>
        </w:tc>
      </w:tr>
    </w:tbl>
    <w:p/>
    <w:bookmarkStart w:id="8" w:name="_EN-US_TOPIC_0000002006852034"/>
    <w:bookmarkEnd w:id="8"/>
    <w:p>
      <w:pPr>
        <w:pStyle w:val="Heading2"/>
      </w:pPr>
      <w:bookmarkStart w:id="9" w:name="_EN-US_TOPIC_0000002006852034-chtext"/>
      <w:bookmarkStart w:id="10" w:name="_Toc256000003"/>
      <w:r>
        <w:t>Software Versions</w:t>
      </w:r>
      <w:bookmarkEnd w:id="10"/>
      <w:bookmarkEnd w:id="9"/>
    </w:p>
    <w:p>
      <w:r>
        <w:t>This section describes the software version information about the OceanStor Dorado V700R001C00SPC200 storage systems.</w:t>
      </w:r>
    </w:p>
    <w:p>
      <w:pPr>
        <w:pStyle w:val="TableDescription"/>
      </w:pPr>
      <w:r>
        <w:t>Software Versions</w:t>
      </w:r>
    </w:p>
    <w:tbl>
      <w:tblPr>
        <w:tblStyle w:val="Table"/>
        <w:tblW w:w="7938" w:type="dxa"/>
        <w:tblInd w:w="1814" w:type="dxa"/>
        <w:tblLayout w:type="fixed"/>
        <w:tblLook w:val="01E0"/>
      </w:tblPr>
      <w:tblGrid>
        <w:gridCol w:w="2302"/>
        <w:gridCol w:w="5636"/>
      </w:tblGrid>
      <w:tr>
        <w:tblPrEx>
          <w:tblW w:w="7938" w:type="dxa"/>
          <w:tblInd w:w="1814" w:type="dxa"/>
          <w:tblLayout w:type="fixed"/>
          <w:tblLook w:val="01E0"/>
        </w:tblPrEx>
        <w:trPr>
          <w:cantSplit w:val="0"/>
          <w:tblHeader/>
        </w:trPr>
        <w:tc>
          <w:tcPr>
            <w:tcW w:w="1450" w:type="pct"/>
            <w:tcBorders>
              <w:top w:val="single" w:sz="6" w:space="0" w:color="000000"/>
              <w:bottom w:val="single" w:sz="6" w:space="0" w:color="000000"/>
              <w:right w:val="single" w:sz="6" w:space="0" w:color="000000"/>
            </w:tcBorders>
            <w:shd w:val="clear" w:color="auto" w:fill="D9D9D9"/>
          </w:tcPr>
          <w:p>
            <w:pPr>
              <w:pStyle w:val="TableHeading"/>
            </w:pPr>
            <w:r>
              <w:t>Software</w:t>
            </w:r>
          </w:p>
        </w:tc>
        <w:tc>
          <w:tcPr>
            <w:tcW w:w="3550" w:type="pct"/>
            <w:tcBorders>
              <w:top w:val="single" w:sz="6" w:space="0" w:color="000000"/>
              <w:bottom w:val="single" w:sz="6" w:space="0" w:color="000000"/>
            </w:tcBorders>
            <w:shd w:val="clear" w:color="auto" w:fill="D9D9D9"/>
          </w:tcPr>
          <w:p>
            <w:pPr>
              <w:pStyle w:val="TableHeading"/>
            </w:pPr>
            <w:r>
              <w:t>Version</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QuorumServer</w:t>
            </w:r>
          </w:p>
        </w:tc>
        <w:tc>
          <w:tcPr>
            <w:tcW w:w="3550" w:type="pct"/>
            <w:tcBorders>
              <w:top w:val="single" w:sz="6" w:space="0" w:color="000000"/>
              <w:bottom w:val="single" w:sz="6" w:space="0" w:color="000000"/>
            </w:tcBorders>
          </w:tcPr>
          <w:p>
            <w:pPr>
              <w:pStyle w:val="TableText"/>
            </w:pPr>
            <w:r>
              <w:t>V700R001C00SPC200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SmartKit</w:t>
            </w:r>
          </w:p>
        </w:tc>
        <w:tc>
          <w:tcPr>
            <w:tcW w:w="3550" w:type="pct"/>
            <w:tcBorders>
              <w:top w:val="single" w:sz="6" w:space="0" w:color="000000"/>
              <w:bottom w:val="single" w:sz="6" w:space="0" w:color="000000"/>
            </w:tcBorders>
          </w:tcPr>
          <w:p>
            <w:pPr>
              <w:pStyle w:val="TableText"/>
            </w:pPr>
            <w:r>
              <w:t>SmartKit 24.0.0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DME IQ Client (originally named eService Client)</w:t>
            </w:r>
          </w:p>
        </w:tc>
        <w:tc>
          <w:tcPr>
            <w:tcW w:w="3550" w:type="pct"/>
            <w:tcBorders>
              <w:top w:val="single" w:sz="6" w:space="0" w:color="000000"/>
              <w:bottom w:val="single" w:sz="6" w:space="0" w:color="000000"/>
            </w:tcBorders>
          </w:tcPr>
          <w:p>
            <w:pPr>
              <w:pStyle w:val="TableText"/>
            </w:pPr>
            <w:r>
              <w:t>DME IQ 24.0.0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OceanStor UltraPath</w:t>
            </w:r>
          </w:p>
        </w:tc>
        <w:tc>
          <w:tcPr>
            <w:tcW w:w="3550" w:type="pct"/>
            <w:tcBorders>
              <w:top w:val="single" w:sz="6" w:space="0" w:color="000000"/>
              <w:bottom w:val="single" w:sz="6" w:space="0" w:color="000000"/>
            </w:tcBorders>
          </w:tcPr>
          <w:p>
            <w:pPr>
              <w:pStyle w:val="TableText"/>
            </w:pPr>
            <w:r>
              <w:t>UltraPath 31.5.0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OceanStor NOF Enabler</w:t>
            </w:r>
          </w:p>
        </w:tc>
        <w:tc>
          <w:tcPr>
            <w:tcW w:w="3550" w:type="pct"/>
            <w:tcBorders>
              <w:top w:val="single" w:sz="6" w:space="0" w:color="000000"/>
              <w:bottom w:val="single" w:sz="6" w:space="0" w:color="000000"/>
            </w:tcBorders>
          </w:tcPr>
          <w:p>
            <w:pPr>
              <w:pStyle w:val="TableText"/>
            </w:pPr>
            <w:r>
              <w:t>UltraPath 31.5.0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NFS+ client</w:t>
            </w:r>
          </w:p>
        </w:tc>
        <w:tc>
          <w:tcPr>
            <w:tcW w:w="3550" w:type="pct"/>
            <w:tcBorders>
              <w:top w:val="single" w:sz="6" w:space="0" w:color="000000"/>
              <w:bottom w:val="single" w:sz="6" w:space="0" w:color="000000"/>
            </w:tcBorders>
          </w:tcPr>
          <w:p>
            <w:pPr>
              <w:pStyle w:val="TableText"/>
            </w:pPr>
            <w:r>
              <w:t>eNFS 1.2.0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DME</w:t>
            </w:r>
          </w:p>
        </w:tc>
        <w:tc>
          <w:tcPr>
            <w:tcW w:w="3550" w:type="pct"/>
            <w:tcBorders>
              <w:top w:val="single" w:sz="6" w:space="0" w:color="000000"/>
              <w:bottom w:val="single" w:sz="6" w:space="0" w:color="000000"/>
            </w:tcBorders>
          </w:tcPr>
          <w:p>
            <w:pPr>
              <w:pStyle w:val="TableText"/>
            </w:pPr>
            <w:r>
              <w:t>DME 24.0.0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eSight</w:t>
            </w:r>
          </w:p>
        </w:tc>
        <w:tc>
          <w:tcPr>
            <w:tcW w:w="3550" w:type="pct"/>
            <w:tcBorders>
              <w:top w:val="single" w:sz="6" w:space="0" w:color="000000"/>
              <w:bottom w:val="single" w:sz="6" w:space="0" w:color="000000"/>
            </w:tcBorders>
          </w:tcPr>
          <w:p>
            <w:pPr>
              <w:pStyle w:val="TableText"/>
            </w:pPr>
            <w:r>
              <w:t>eSight 24.0.RC1 and later</w:t>
            </w:r>
          </w:p>
        </w:tc>
      </w:tr>
      <w:tr>
        <w:tblPrEx>
          <w:tblW w:w="7938" w:type="dxa"/>
          <w:tblInd w:w="1814" w:type="dxa"/>
          <w:tblLayout w:type="fixed"/>
          <w:tblLook w:val="01E0"/>
        </w:tblPrEx>
        <w:trPr>
          <w:cantSplit w:val="0"/>
        </w:trPr>
        <w:tc>
          <w:tcPr>
            <w:tcW w:w="1450" w:type="pct"/>
            <w:tcBorders>
              <w:top w:val="single" w:sz="6" w:space="0" w:color="000000"/>
              <w:bottom w:val="single" w:sz="6" w:space="0" w:color="000000"/>
              <w:right w:val="single" w:sz="6" w:space="0" w:color="000000"/>
            </w:tcBorders>
          </w:tcPr>
          <w:p>
            <w:pPr>
              <w:pStyle w:val="TableText"/>
            </w:pPr>
            <w:r>
              <w:t>eSDK Enterprise Storage Plugins</w:t>
            </w:r>
          </w:p>
        </w:tc>
        <w:tc>
          <w:tcPr>
            <w:tcW w:w="3550" w:type="pct"/>
            <w:tcBorders>
              <w:top w:val="single" w:sz="6" w:space="0" w:color="000000"/>
              <w:bottom w:val="single" w:sz="6" w:space="0" w:color="000000"/>
            </w:tcBorders>
          </w:tcPr>
          <w:p>
            <w:pPr>
              <w:pStyle w:val="TableText"/>
            </w:pPr>
            <w:r>
              <w:t>eSDK Enterprise Storage Plugins 2.7.RC3 and later</w:t>
            </w:r>
          </w:p>
        </w:tc>
      </w:tr>
    </w:tbl>
    <w:p/>
    <w:p>
      <w:pPr>
        <w:pStyle w:val="NotesHeading"/>
        <w:rPr>
          <w:rFonts w:hint="eastAsia"/>
        </w:rPr>
      </w:pPr>
      <w:r>
        <w:rPr>
          <w:rFonts w:hint="eastAsia"/>
          <w:color w:val="339966"/>
        </w:rPr>
        <w:pict>
          <v:shape id="_x0000_i1029" type="#_x0000_t75" style="width:54.08pt;height:19pt">
            <v:imagedata r:id="rId34" o:title="note"/>
          </v:shape>
        </w:pict>
      </w:r>
    </w:p>
    <w:p>
      <w:pPr>
        <w:pStyle w:val="NotesText"/>
      </w:pPr>
      <w:r>
        <w:t>To ensure display compatibility, some software may display the internal version information of the storage system.</w:t>
      </w:r>
    </w:p>
    <w:bookmarkStart w:id="11" w:name="_EN-US_TOPIC_0000002006851834"/>
    <w:bookmarkEnd w:id="11"/>
    <w:p>
      <w:pPr>
        <w:pStyle w:val="Heading2"/>
      </w:pPr>
      <w:bookmarkStart w:id="12" w:name="_EN-US_TOPIC_0000002006851834-chtext"/>
      <w:bookmarkStart w:id="13" w:name="_Toc256000004"/>
      <w:r>
        <w:t>Virus Scan Result</w:t>
      </w:r>
      <w:bookmarkEnd w:id="13"/>
      <w:bookmarkEnd w:id="12"/>
    </w:p>
    <w:p>
      <w:r>
        <w:t>The software package of OceanStor Dorado V700R001C00SPC200 storage systems has been scanned by Kaspersky, OfficeScan, and Bitdefender antivirus software.</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620"/>
        <w:gridCol w:w="5318"/>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QiAnXin</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8.0.5.5260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2024-12-29 08:00:00.0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2024-12-30 11:09:56</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p>
        </w:tc>
        <w:tc>
          <w:tcPr>
            <w:tcW w:w="33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Bitdefender</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7.0.3.2050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7.98148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2024-12-30 11:09:58</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p>
        </w:tc>
        <w:tc>
          <w:tcPr>
            <w:tcW w:w="3350"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Name</w:t>
            </w:r>
          </w:p>
        </w:tc>
        <w:tc>
          <w:tcPr>
            <w:tcW w:w="3350" w:type="pct"/>
            <w:tcBorders>
              <w:top w:val="single" w:sz="6" w:space="0" w:color="000000"/>
              <w:bottom w:val="single" w:sz="6" w:space="0" w:color="000000"/>
            </w:tcBorders>
          </w:tcPr>
          <w:p>
            <w:pPr>
              <w:pStyle w:val="TableText"/>
            </w:pPr>
            <w:r>
              <w:t>Kaspersky</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Engine Version</w:t>
            </w:r>
          </w:p>
        </w:tc>
        <w:tc>
          <w:tcPr>
            <w:tcW w:w="3350" w:type="pct"/>
            <w:tcBorders>
              <w:top w:val="single" w:sz="6" w:space="0" w:color="000000"/>
              <w:bottom w:val="single" w:sz="6" w:space="0" w:color="000000"/>
            </w:tcBorders>
          </w:tcPr>
          <w:p>
            <w:pPr>
              <w:pStyle w:val="TableText"/>
            </w:pPr>
            <w:r>
              <w:t>12.0.0.6672</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Virus Lib Version</w:t>
            </w:r>
          </w:p>
        </w:tc>
        <w:tc>
          <w:tcPr>
            <w:tcW w:w="3350" w:type="pct"/>
            <w:tcBorders>
              <w:top w:val="single" w:sz="6" w:space="0" w:color="000000"/>
              <w:bottom w:val="single" w:sz="6" w:space="0" w:color="000000"/>
            </w:tcBorders>
          </w:tcPr>
          <w:p>
            <w:pPr>
              <w:pStyle w:val="TableText"/>
            </w:pPr>
            <w:r>
              <w:t>2024-12-29 02:02:00</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Time</w:t>
            </w:r>
          </w:p>
        </w:tc>
        <w:tc>
          <w:tcPr>
            <w:tcW w:w="3350" w:type="pct"/>
            <w:tcBorders>
              <w:top w:val="single" w:sz="6" w:space="0" w:color="000000"/>
              <w:bottom w:val="single" w:sz="6" w:space="0" w:color="000000"/>
            </w:tcBorders>
          </w:tcPr>
          <w:p>
            <w:pPr>
              <w:pStyle w:val="TableText"/>
            </w:pPr>
            <w:r>
              <w:t>2024-12-30 11:09:52</w:t>
            </w:r>
          </w:p>
        </w:tc>
      </w:tr>
      <w:tr>
        <w:tblPrEx>
          <w:tblW w:w="7938" w:type="dxa"/>
          <w:tblInd w:w="1814" w:type="dxa"/>
          <w:tblLayout w:type="fixed"/>
          <w:tblLook w:val="01E0"/>
        </w:tblPrEx>
        <w:trPr>
          <w:cantSplit w:val="0"/>
        </w:trPr>
        <w:tc>
          <w:tcPr>
            <w:tcW w:w="1650" w:type="pct"/>
            <w:tcBorders>
              <w:top w:val="single" w:sz="6" w:space="0" w:color="000000"/>
              <w:bottom w:val="single" w:sz="6" w:space="0" w:color="000000"/>
              <w:right w:val="single" w:sz="6" w:space="0" w:color="000000"/>
            </w:tcBorders>
          </w:tcPr>
          <w:p>
            <w:pPr>
              <w:pStyle w:val="TableText"/>
            </w:pPr>
            <w:r>
              <w:rPr>
                <w:b/>
              </w:rPr>
              <w:t>Scan Result</w:t>
            </w:r>
          </w:p>
        </w:tc>
        <w:tc>
          <w:tcPr>
            <w:tcW w:w="3350" w:type="pct"/>
            <w:tcBorders>
              <w:top w:val="single" w:sz="6" w:space="0" w:color="000000"/>
              <w:bottom w:val="single" w:sz="6" w:space="0" w:color="000000"/>
            </w:tcBorders>
          </w:tcPr>
          <w:p>
            <w:pPr>
              <w:pStyle w:val="TableText"/>
            </w:pPr>
            <w:r>
              <w:t>OK</w:t>
            </w:r>
          </w:p>
        </w:tc>
      </w:tr>
    </w:tbl>
    <w:p>
      <w:pPr>
        <w:sectPr>
          <w:headerReference w:type="even" r:id="rId35"/>
          <w:headerReference w:type="default" r:id="rId36"/>
          <w:footerReference w:type="even" r:id="rId37"/>
          <w:footerReference w:type="default" r:id="rId38"/>
          <w:type w:val="nextPage"/>
          <w:pgSz w:w="11907" w:h="16840" w:code="9"/>
          <w:pgMar w:top="1701" w:right="1134" w:bottom="1701" w:left="1134" w:header="567" w:footer="567" w:gutter="0"/>
          <w:pgNumType w:fmt="decimal" w:start="1"/>
          <w:cols w:space="425"/>
          <w:docGrid w:linePitch="312"/>
        </w:sectPr>
      </w:pPr>
    </w:p>
    <w:bookmarkStart w:id="14" w:name="_EN-US_TOPIC_0000002043010165"/>
    <w:bookmarkEnd w:id="14"/>
    <w:p>
      <w:pPr>
        <w:pStyle w:val="Heading1"/>
      </w:pPr>
      <w:bookmarkStart w:id="15" w:name="_EN-US_TOPIC_0000002043010165-chtext"/>
      <w:bookmarkStart w:id="16" w:name="_Toc256000005"/>
      <w:r>
        <w:t>Version Compatibility</w:t>
      </w:r>
      <w:bookmarkEnd w:id="16"/>
      <w:bookmarkEnd w:id="15"/>
    </w:p>
    <w:p>
      <w:r>
        <w:t>This chapter describes the version compatibility of OceanStor Dorado V700R001C00SPC200 storage systems.</w:t>
      </w:r>
    </w:p>
    <w:p>
      <w:hyperlink w:anchor="_EN-US_TOPIC_0000002006852026" w:tooltip=" " w:history="1">
        <w:r>
          <w:rPr>
            <w:rStyle w:val="Hyperlink"/>
          </w:rPr>
          <w:t>2.1  Software Version Compatibility</w:t>
        </w:r>
      </w:hyperlink>
    </w:p>
    <w:p>
      <w:hyperlink w:anchor="_EN-US_TOPIC_0000002042890897" w:tooltip=" " w:history="1">
        <w:r>
          <w:rPr>
            <w:rStyle w:val="Hyperlink"/>
          </w:rPr>
          <w:t>2.2  Hardware Version Compatibility</w:t>
        </w:r>
      </w:hyperlink>
    </w:p>
    <w:bookmarkStart w:id="17" w:name="_EN-US_TOPIC_0000002006852026"/>
    <w:bookmarkEnd w:id="17"/>
    <w:p>
      <w:pPr>
        <w:pStyle w:val="Heading2"/>
        <w:numPr>
          <w:numId w:val="48"/>
        </w:numPr>
      </w:pPr>
      <w:bookmarkStart w:id="18" w:name="_EN-US_TOPIC_0000002006852026-chtext"/>
      <w:bookmarkStart w:id="19" w:name="_Toc256000006"/>
      <w:r>
        <w:t>Software Version Compatibility</w:t>
      </w:r>
      <w:bookmarkEnd w:id="19"/>
      <w:bookmarkEnd w:id="18"/>
    </w:p>
    <w:p>
      <w:r>
        <w:t>Not involved.</w:t>
      </w:r>
    </w:p>
    <w:bookmarkStart w:id="20" w:name="_EN-US_TOPIC_0000002042890897"/>
    <w:bookmarkEnd w:id="20"/>
    <w:p>
      <w:pPr>
        <w:pStyle w:val="Heading2"/>
      </w:pPr>
      <w:bookmarkStart w:id="21" w:name="_EN-US_TOPIC_0000002042890897-chtext"/>
      <w:bookmarkStart w:id="22" w:name="_Toc256000007"/>
      <w:r>
        <w:t>Hardware Version Compatibility</w:t>
      </w:r>
      <w:bookmarkEnd w:id="22"/>
      <w:bookmarkEnd w:id="21"/>
    </w:p>
    <w:tbl>
      <w:tblPr>
        <w:tblStyle w:val="Table"/>
        <w:tblW w:w="7938" w:type="dxa"/>
        <w:tblInd w:w="1814" w:type="dxa"/>
        <w:tblLayout w:type="fixed"/>
        <w:tblLook w:val="01E0"/>
      </w:tblPr>
      <w:tblGrid>
        <w:gridCol w:w="2807"/>
        <w:gridCol w:w="1764"/>
        <w:gridCol w:w="1684"/>
        <w:gridCol w:w="1683"/>
      </w:tblGrid>
      <w:tr>
        <w:tblPrEx>
          <w:tblW w:w="7938" w:type="dxa"/>
          <w:tblInd w:w="1814" w:type="dxa"/>
          <w:tblLayout w:type="fixed"/>
          <w:tblLook w:val="01E0"/>
        </w:tblPrEx>
        <w:trPr>
          <w:cantSplit w:val="0"/>
          <w:tblHeader/>
        </w:trPr>
        <w:tc>
          <w:tcPr>
            <w:tcW w:w="1768" w:type="pct"/>
            <w:tcBorders>
              <w:top w:val="single" w:sz="6" w:space="0" w:color="000000"/>
              <w:bottom w:val="single" w:sz="6" w:space="0" w:color="000000"/>
              <w:right w:val="single" w:sz="6" w:space="0" w:color="000000"/>
            </w:tcBorders>
            <w:shd w:val="clear" w:color="auto" w:fill="D9D9D9"/>
          </w:tcPr>
          <w:p>
            <w:pPr>
              <w:pStyle w:val="TableHeading"/>
            </w:pPr>
            <w:r>
              <w:t>New Hardware</w:t>
            </w:r>
          </w:p>
        </w:tc>
        <w:tc>
          <w:tcPr>
            <w:tcW w:w="1111" w:type="pct"/>
            <w:tcBorders>
              <w:top w:val="single" w:sz="6" w:space="0" w:color="000000"/>
              <w:bottom w:val="single" w:sz="6" w:space="0" w:color="000000"/>
              <w:right w:val="single" w:sz="6" w:space="0" w:color="000000"/>
            </w:tcBorders>
            <w:shd w:val="clear" w:color="auto" w:fill="D9D9D9"/>
          </w:tcPr>
          <w:p>
            <w:pPr>
              <w:pStyle w:val="TableHeading"/>
            </w:pPr>
            <w:r>
              <w:t>Hardware to Be Replaced</w:t>
            </w:r>
          </w:p>
        </w:tc>
        <w:tc>
          <w:tcPr>
            <w:tcW w:w="1061" w:type="pct"/>
            <w:tcBorders>
              <w:top w:val="single" w:sz="6" w:space="0" w:color="000000"/>
              <w:bottom w:val="single" w:sz="6" w:space="0" w:color="000000"/>
              <w:right w:val="single" w:sz="6" w:space="0" w:color="000000"/>
            </w:tcBorders>
            <w:shd w:val="clear" w:color="auto" w:fill="D9D9D9"/>
          </w:tcPr>
          <w:p>
            <w:pPr>
              <w:pStyle w:val="TableHeading"/>
            </w:pPr>
            <w:r>
              <w:t>Compatibility with Software Versions</w:t>
            </w:r>
          </w:p>
        </w:tc>
        <w:tc>
          <w:tcPr>
            <w:tcW w:w="1061" w:type="pct"/>
            <w:tcBorders>
              <w:top w:val="single" w:sz="6" w:space="0" w:color="000000"/>
              <w:bottom w:val="single" w:sz="6" w:space="0" w:color="000000"/>
            </w:tcBorders>
            <w:shd w:val="clear" w:color="auto" w:fill="D9D9D9"/>
          </w:tcPr>
          <w:p>
            <w:pPr>
              <w:pStyle w:val="TableHeading"/>
            </w:pPr>
            <w:r>
              <w:t>Compatibility with Related Product Versions</w:t>
            </w:r>
          </w:p>
        </w:tc>
      </w:tr>
      <w:tr>
        <w:tblPrEx>
          <w:tblW w:w="7938" w:type="dxa"/>
          <w:tblInd w:w="1814" w:type="dxa"/>
          <w:tblLayout w:type="fixed"/>
          <w:tblLook w:val="01E0"/>
        </w:tblPrEx>
        <w:trPr>
          <w:cantSplit w:val="0"/>
        </w:trPr>
        <w:tc>
          <w:tcPr>
            <w:tcW w:w="1768" w:type="pct"/>
            <w:tcBorders>
              <w:top w:val="single" w:sz="6" w:space="0" w:color="000000"/>
              <w:bottom w:val="single" w:sz="6" w:space="0" w:color="000000"/>
              <w:right w:val="single" w:sz="6" w:space="0" w:color="000000"/>
            </w:tcBorders>
          </w:tcPr>
          <w:p>
            <w:pPr>
              <w:pStyle w:val="TableText"/>
            </w:pPr>
            <w:r>
              <w:t>OceanStor Dorado 3000, OceanStor Dorado 5000, OceanStor Dorado 6000, OceanStor Dorado 8000, OceanStor Dorado 18000 V700R001C00SPC200</w:t>
            </w:r>
          </w:p>
        </w:tc>
        <w:tc>
          <w:tcPr>
            <w:tcW w:w="1111" w:type="pct"/>
            <w:tcBorders>
              <w:top w:val="single" w:sz="6" w:space="0" w:color="000000"/>
              <w:bottom w:val="single" w:sz="6" w:space="0" w:color="000000"/>
              <w:right w:val="single" w:sz="6" w:space="0" w:color="000000"/>
            </w:tcBorders>
          </w:tcPr>
          <w:p>
            <w:pPr>
              <w:pStyle w:val="TableText"/>
            </w:pPr>
            <w:r>
              <w:t>□</w:t>
            </w:r>
          </w:p>
        </w:tc>
        <w:tc>
          <w:tcPr>
            <w:tcW w:w="1061" w:type="pct"/>
            <w:tcBorders>
              <w:top w:val="single" w:sz="6" w:space="0" w:color="000000"/>
              <w:bottom w:val="single" w:sz="6" w:space="0" w:color="000000"/>
              <w:right w:val="single" w:sz="6" w:space="0" w:color="000000"/>
            </w:tcBorders>
          </w:tcPr>
          <w:p>
            <w:pPr>
              <w:pStyle w:val="TableText"/>
            </w:pPr>
            <w:r>
              <w:t>□</w:t>
            </w:r>
          </w:p>
        </w:tc>
        <w:tc>
          <w:tcPr>
            <w:tcW w:w="1061" w:type="pct"/>
            <w:tcBorders>
              <w:top w:val="single" w:sz="6" w:space="0" w:color="000000"/>
              <w:bottom w:val="single" w:sz="6" w:space="0" w:color="000000"/>
            </w:tcBorders>
          </w:tcPr>
          <w:p>
            <w:pPr>
              <w:pStyle w:val="TableText"/>
            </w:pPr>
            <w:r>
              <w:t>□</w:t>
            </w:r>
          </w:p>
        </w:tc>
      </w:tr>
    </w:tbl>
    <w:p/>
    <w:p>
      <w:pPr>
        <w:pStyle w:val="NotesHeading"/>
        <w:rPr>
          <w:rFonts w:hint="eastAsia"/>
        </w:rPr>
      </w:pPr>
      <w:r>
        <w:rPr>
          <w:rFonts w:hint="eastAsia"/>
          <w:color w:val="339966"/>
        </w:rPr>
        <w:pict>
          <v:shape id="_x0000_i1030" type="#_x0000_t75" style="width:54.08pt;height:19pt">
            <v:imagedata r:id="rId34" o:title="note"/>
          </v:shape>
        </w:pict>
      </w:r>
    </w:p>
    <w:p>
      <w:pPr>
        <w:pStyle w:val="NotesText"/>
      </w:pPr>
      <w:r>
        <w:t>If different hardware versions are compatible, the new hardware can replace the original hardware without affecting existing functions, achieving plug-and-play. After the hardware is replaced, the device software, network management software, and associated devices on the network do not need to be upgraded or patched.</w:t>
      </w:r>
    </w:p>
    <w:p>
      <w:pPr>
        <w:pStyle w:val="NotesText"/>
      </w:pPr>
      <w:r>
        <w:t>■: Compatible</w:t>
      </w:r>
    </w:p>
    <w:p>
      <w:pPr>
        <w:pStyle w:val="NotesText"/>
      </w:pPr>
      <w:r>
        <w:t>□: Incompatible</w:t>
      </w:r>
    </w:p>
    <w:p>
      <w:pPr>
        <w:pStyle w:val="NotesText"/>
      </w:pPr>
      <w:r>
        <w:t>N/A: Not involved</w:t>
      </w:r>
    </w:p>
    <w:p>
      <w:pPr>
        <w:sectPr>
          <w:headerReference w:type="even" r:id="rId39"/>
          <w:headerReference w:type="default" r:id="rId40"/>
          <w:footerReference w:type="even" r:id="rId41"/>
          <w:footerReference w:type="default" r:id="rId42"/>
          <w:type w:val="nextPage"/>
          <w:pgSz w:w="11907" w:h="16840" w:code="9"/>
          <w:pgMar w:top="1701" w:right="1134" w:bottom="1701" w:left="1134" w:header="567" w:footer="567" w:gutter="0"/>
          <w:pgNumType w:fmt="decimal"/>
          <w:cols w:space="425"/>
          <w:docGrid w:linePitch="312"/>
        </w:sectPr>
      </w:pPr>
    </w:p>
    <w:bookmarkStart w:id="23" w:name="_EN-US_TOPIC_0000002043009905"/>
    <w:bookmarkEnd w:id="23"/>
    <w:p>
      <w:pPr>
        <w:pStyle w:val="Heading1"/>
      </w:pPr>
      <w:bookmarkStart w:id="24" w:name="_EN-US_TOPIC_0000002043009905-chtext"/>
      <w:bookmarkStart w:id="25" w:name="_Toc256000008"/>
      <w:r>
        <w:t>Important Notes</w:t>
      </w:r>
      <w:bookmarkEnd w:id="25"/>
      <w:bookmarkEnd w:id="24"/>
    </w:p>
    <w:p>
      <w:r>
        <w:t>This chapter introduces the precautions and restrictions for using OceanStor Dorado V700R001C00SPC200 storage systems.</w:t>
      </w:r>
    </w:p>
    <w:p>
      <w:hyperlink w:anchor="_EN-US_TOPIC_0000002006852014" w:tooltip=" " w:history="1">
        <w:r>
          <w:rPr>
            <w:rStyle w:val="Hyperlink"/>
          </w:rPr>
          <w:t>3.1  Hardware Operations</w:t>
        </w:r>
      </w:hyperlink>
    </w:p>
    <w:p>
      <w:hyperlink w:anchor="_EN-US_TOPIC_0000002007010090" w:tooltip=" " w:history="1">
        <w:r>
          <w:rPr>
            <w:rStyle w:val="Hyperlink"/>
          </w:rPr>
          <w:t>3.2  System Management</w:t>
        </w:r>
      </w:hyperlink>
    </w:p>
    <w:p>
      <w:hyperlink w:anchor="_EN-US_TOPIC_0000002043010193" w:tooltip=" " w:history="1">
        <w:r>
          <w:rPr>
            <w:rStyle w:val="Hyperlink"/>
          </w:rPr>
          <w:t>3.3  Service Operations</w:t>
        </w:r>
      </w:hyperlink>
    </w:p>
    <w:bookmarkStart w:id="26" w:name="_EN-US_TOPIC_0000002006852014"/>
    <w:bookmarkEnd w:id="26"/>
    <w:p>
      <w:pPr>
        <w:pStyle w:val="Heading2"/>
        <w:numPr>
          <w:numId w:val="51"/>
        </w:numPr>
      </w:pPr>
      <w:bookmarkStart w:id="27" w:name="_EN-US_TOPIC_0000002006852014-chtext"/>
      <w:bookmarkStart w:id="28" w:name="_Toc256000009"/>
      <w:r>
        <w:t>Hardware Operations</w:t>
      </w:r>
      <w:bookmarkEnd w:id="28"/>
      <w:bookmarkEnd w:id="27"/>
    </w:p>
    <w:p>
      <w:r>
        <w:t>This section describes precautions for hardware operations.</w:t>
      </w:r>
    </w:p>
    <w:p>
      <w:pPr>
        <w:pStyle w:val="ItemList"/>
      </w:pPr>
      <w:r>
        <w:t>Do not insert or remove disks frequently. Such operations may damage disks and interrupt services. Leave a minimum interval of 15 seconds between removing and inserting a disk.</w:t>
      </w:r>
    </w:p>
    <w:p>
      <w:pPr>
        <w:pStyle w:val="ItemList"/>
      </w:pPr>
      <w:r>
        <w:t>Do not remove two backup battery units (BBUs) of a controller simultaneously. Such an operation may cause the system to switch to read-only and undermine system performance.</w:t>
      </w:r>
    </w:p>
    <w:p>
      <w:pPr>
        <w:pStyle w:val="ItemList"/>
      </w:pPr>
      <w:r>
        <w:t>Do not remove and reinsert cables frequently, which may cause system processing faults. Leave a minimum interval of 5 seconds between removing and inserting a cable.</w:t>
      </w:r>
    </w:p>
    <w:p>
      <w:pPr>
        <w:pStyle w:val="ItemList"/>
      </w:pPr>
      <w:r>
        <w:t>Do not interchange the expansion cables connected to the two ports of an interface module within 15 seconds.</w:t>
      </w:r>
    </w:p>
    <w:p>
      <w:pPr>
        <w:pStyle w:val="ItemList"/>
      </w:pPr>
      <w:r>
        <w:t>Make sure that management network ports reside on a network segment different from that of the maintenance network ports.</w:t>
      </w:r>
    </w:p>
    <w:bookmarkStart w:id="29" w:name="_EN-US_TOPIC_0000002007010090"/>
    <w:bookmarkEnd w:id="29"/>
    <w:p>
      <w:pPr>
        <w:pStyle w:val="Heading2"/>
      </w:pPr>
      <w:bookmarkStart w:id="30" w:name="_EN-US_TOPIC_0000002007010090-chtext"/>
      <w:bookmarkStart w:id="31" w:name="_Toc256000010"/>
      <w:r>
        <w:t>System Management</w:t>
      </w:r>
      <w:bookmarkEnd w:id="31"/>
      <w:bookmarkEnd w:id="30"/>
    </w:p>
    <w:p>
      <w:r>
        <w:t>This section describes precautions for system management.</w:t>
      </w:r>
    </w:p>
    <w:p>
      <w:pPr>
        <w:pStyle w:val="ItemList"/>
      </w:pPr>
      <w:r>
        <w:t>Do not perform any configuration operations when the system is offline or is experiencing an active-standby switchover, offline upgrade, online upgrade, quick upgrade, or power resumption. Proceed to next step until you have checked that such operations are complete on the CLI or DeviceManager.</w:t>
      </w:r>
    </w:p>
    <w:p>
      <w:pPr>
        <w:pStyle w:val="ItemList"/>
      </w:pPr>
      <w:r>
        <w:t>Use the CLI, DeviceManager, or the power button on the controller panel to power off the system. Do not directly remove the power cable from the controller enclosure.</w:t>
      </w:r>
    </w:p>
    <w:p>
      <w:pPr>
        <w:pStyle w:val="ItemList"/>
      </w:pPr>
      <w:r>
        <w:t>Keep an interval of at least 1 minute between powering on and off an expansion enclosure, and at least 3 minutes in the case of topology change.</w:t>
      </w:r>
    </w:p>
    <w:p>
      <w:pPr>
        <w:pStyle w:val="ItemList"/>
      </w:pPr>
      <w:r>
        <w:t>Observe the following when setting a topology mode for Fibre Channel front-end ports:</w:t>
      </w:r>
    </w:p>
    <w:p>
      <w:pPr>
        <w:pStyle w:val="SubItemList"/>
      </w:pPr>
      <w:r>
        <w:t>Leave an interval of at least 20 seconds between setting the topology modes.</w:t>
      </w:r>
    </w:p>
    <w:p>
      <w:pPr>
        <w:pStyle w:val="SubItemList"/>
      </w:pPr>
      <w:r>
        <w:t>When services are running, do not set the topology mode for ports.</w:t>
      </w:r>
    </w:p>
    <w:bookmarkStart w:id="32" w:name="_EN-US_TOPIC_0000002043010193"/>
    <w:bookmarkEnd w:id="32"/>
    <w:p>
      <w:pPr>
        <w:pStyle w:val="Heading2"/>
      </w:pPr>
      <w:bookmarkStart w:id="33" w:name="_EN-US_TOPIC_0000002043010193-chtext"/>
      <w:bookmarkStart w:id="34" w:name="_Toc256000011"/>
      <w:r>
        <w:t>Service Operations</w:t>
      </w:r>
      <w:bookmarkEnd w:id="34"/>
      <w:bookmarkEnd w:id="33"/>
    </w:p>
    <w:p>
      <w:r>
        <w:t>This section describes precautions for service operations.</w:t>
      </w:r>
    </w:p>
    <w:p>
      <w:r>
        <w:t>Management ports and service ports cannot be bonded, nor can maintenance ports and service ports.</w:t>
      </w:r>
    </w:p>
    <w:p>
      <w:pPr>
        <w:sectPr>
          <w:headerReference w:type="even" r:id="rId43"/>
          <w:headerReference w:type="default" r:id="rId44"/>
          <w:footerReference w:type="even" r:id="rId45"/>
          <w:footerReference w:type="default" r:id="rId46"/>
          <w:type w:val="nextPage"/>
          <w:pgSz w:w="11907" w:h="16840" w:code="9"/>
          <w:pgMar w:top="1701" w:right="1134" w:bottom="1701" w:left="1134" w:header="567" w:footer="567" w:gutter="0"/>
          <w:pgNumType w:fmt="decimal"/>
          <w:cols w:space="425"/>
          <w:docGrid w:linePitch="312"/>
        </w:sectPr>
      </w:pPr>
    </w:p>
    <w:bookmarkStart w:id="35" w:name="_EN-US_TOPIC_0000002006851950"/>
    <w:bookmarkEnd w:id="35"/>
    <w:p>
      <w:pPr>
        <w:pStyle w:val="Heading1"/>
      </w:pPr>
      <w:bookmarkStart w:id="36" w:name="_EN-US_TOPIC_0000002006851950-chtext"/>
      <w:bookmarkStart w:id="37" w:name="_Toc256000012"/>
      <w:r>
        <w:t>V700R001C00SPC200</w:t>
      </w:r>
      <w:bookmarkEnd w:id="37"/>
      <w:bookmarkEnd w:id="36"/>
    </w:p>
    <w:p>
      <w:hyperlink w:anchor="_EN-US_TOPIC_0000002042890821" w:tooltip=" " w:history="1">
        <w:r>
          <w:rPr>
            <w:rStyle w:val="Hyperlink"/>
          </w:rPr>
          <w:t>4.1  What's New</w:t>
        </w:r>
      </w:hyperlink>
    </w:p>
    <w:p>
      <w:hyperlink w:anchor="_EN-US_TOPIC_0000002042891017" w:tooltip=" " w:history="1">
        <w:r>
          <w:rPr>
            <w:rStyle w:val="Hyperlink"/>
          </w:rPr>
          <w:t>4.2  Resolved Issues</w:t>
        </w:r>
      </w:hyperlink>
    </w:p>
    <w:p>
      <w:hyperlink w:anchor="_EN-US_TOPIC_0000002042891061" w:tooltip=" " w:history="1">
        <w:r>
          <w:rPr>
            <w:rStyle w:val="Hyperlink"/>
          </w:rPr>
          <w:t>4.3  Known Issues</w:t>
        </w:r>
      </w:hyperlink>
    </w:p>
    <w:bookmarkStart w:id="38" w:name="_EN-US_TOPIC_0000002042890821"/>
    <w:bookmarkEnd w:id="38"/>
    <w:p>
      <w:pPr>
        <w:pStyle w:val="Heading2"/>
        <w:numPr>
          <w:numId w:val="55"/>
        </w:numPr>
      </w:pPr>
      <w:bookmarkStart w:id="39" w:name="_EN-US_TOPIC_0000002042890821-chtext"/>
      <w:bookmarkStart w:id="40" w:name="_Toc256000013"/>
      <w:r>
        <w:t>What's New</w:t>
      </w:r>
      <w:bookmarkEnd w:id="40"/>
      <w:bookmarkEnd w:id="39"/>
    </w:p>
    <w:tbl>
      <w:tblPr>
        <w:tblStyle w:val="Table"/>
        <w:tblW w:w="7938" w:type="dxa"/>
        <w:tblInd w:w="1814" w:type="dxa"/>
        <w:tblLayout w:type="fixed"/>
        <w:tblLook w:val="01E0"/>
      </w:tblPr>
      <w:tblGrid>
        <w:gridCol w:w="635"/>
        <w:gridCol w:w="1750"/>
        <w:gridCol w:w="5553"/>
      </w:tblGrid>
      <w:tr>
        <w:tblPrEx>
          <w:tblW w:w="7938" w:type="dxa"/>
          <w:tblInd w:w="1814" w:type="dxa"/>
          <w:tblLayout w:type="fixed"/>
          <w:tblLook w:val="01E0"/>
        </w:tblPrEx>
        <w:trPr>
          <w:cantSplit w:val="0"/>
          <w:tblHeader/>
        </w:trPr>
        <w:tc>
          <w:tcPr>
            <w:tcW w:w="400" w:type="pct"/>
            <w:tcBorders>
              <w:top w:val="single" w:sz="6" w:space="0" w:color="000000"/>
              <w:bottom w:val="single" w:sz="6" w:space="0" w:color="000000"/>
              <w:right w:val="single" w:sz="6" w:space="0" w:color="000000"/>
            </w:tcBorders>
            <w:shd w:val="clear" w:color="auto" w:fill="D9D9D9"/>
          </w:tcPr>
          <w:p>
            <w:pPr>
              <w:pStyle w:val="TableHeading"/>
            </w:pPr>
            <w:r>
              <w:t>No.</w:t>
            </w:r>
          </w:p>
        </w:tc>
        <w:tc>
          <w:tcPr>
            <w:tcW w:w="1102" w:type="pct"/>
            <w:tcBorders>
              <w:top w:val="single" w:sz="6" w:space="0" w:color="000000"/>
              <w:bottom w:val="single" w:sz="6" w:space="0" w:color="000000"/>
              <w:right w:val="single" w:sz="6" w:space="0" w:color="000000"/>
            </w:tcBorders>
            <w:shd w:val="clear" w:color="auto" w:fill="D9D9D9"/>
          </w:tcPr>
          <w:p>
            <w:pPr>
              <w:pStyle w:val="TableHeading"/>
            </w:pPr>
            <w:r>
              <w:t>Name</w:t>
            </w:r>
          </w:p>
        </w:tc>
        <w:tc>
          <w:tcPr>
            <w:tcW w:w="3498" w:type="pct"/>
            <w:tcBorders>
              <w:top w:val="single" w:sz="6" w:space="0" w:color="000000"/>
              <w:bottom w:val="single" w:sz="6" w:space="0" w:color="000000"/>
            </w:tcBorders>
            <w:shd w:val="clear" w:color="auto" w:fill="D9D9D9"/>
          </w:tcPr>
          <w:p>
            <w:pPr>
              <w:pStyle w:val="TableHeading"/>
            </w:pPr>
            <w:r>
              <w:t>Description</w:t>
            </w:r>
          </w:p>
        </w:tc>
      </w:tr>
      <w:tr>
        <w:tblPrEx>
          <w:tblW w:w="7938" w:type="dxa"/>
          <w:tblInd w:w="1814" w:type="dxa"/>
          <w:tblLayout w:type="fixed"/>
          <w:tblLook w:val="01E0"/>
        </w:tblPrEx>
        <w:trPr>
          <w:cantSplit w:val="0"/>
        </w:trPr>
        <w:tc>
          <w:tcPr>
            <w:tcW w:w="400" w:type="pct"/>
            <w:vMerge w:val="restart"/>
            <w:tcBorders>
              <w:top w:val="single" w:sz="6" w:space="0" w:color="000000"/>
              <w:bottom w:val="single" w:sz="6" w:space="0" w:color="000000"/>
              <w:right w:val="single" w:sz="6" w:space="0" w:color="000000"/>
            </w:tcBorders>
          </w:tcPr>
          <w:p>
            <w:pPr>
              <w:pStyle w:val="TableText"/>
            </w:pPr>
            <w:r>
              <w:t>1</w:t>
            </w:r>
          </w:p>
        </w:tc>
        <w:tc>
          <w:tcPr>
            <w:tcW w:w="1102" w:type="pct"/>
            <w:vMerge w:val="restart"/>
            <w:tcBorders>
              <w:top w:val="single" w:sz="6" w:space="0" w:color="000000"/>
              <w:bottom w:val="single" w:sz="6" w:space="0" w:color="000000"/>
              <w:right w:val="single" w:sz="6" w:space="0" w:color="000000"/>
            </w:tcBorders>
          </w:tcPr>
          <w:p>
            <w:pPr>
              <w:pStyle w:val="TableText"/>
            </w:pPr>
            <w:r>
              <w:t>NAS snapshot protection</w:t>
            </w:r>
          </w:p>
        </w:tc>
        <w:tc>
          <w:tcPr>
            <w:tcW w:w="3498" w:type="pct"/>
            <w:tcBorders>
              <w:top w:val="single" w:sz="6" w:space="0" w:color="000000"/>
              <w:bottom w:val="single" w:sz="6" w:space="0" w:color="000000"/>
            </w:tcBorders>
          </w:tcPr>
          <w:p>
            <w:pPr>
              <w:pStyle w:val="TableText"/>
            </w:pPr>
            <w:r>
              <w:t>The maximum value for the reserved snapshot space ratio of the file system is increased.</w:t>
            </w:r>
          </w:p>
        </w:tc>
      </w:tr>
      <w:tr>
        <w:tblPrEx>
          <w:tblW w:w="7938" w:type="dxa"/>
          <w:tblInd w:w="1814" w:type="dxa"/>
          <w:tblLayout w:type="fixed"/>
          <w:tblLook w:val="01E0"/>
        </w:tblPrEx>
        <w:trPr>
          <w:cantSplit w:val="0"/>
        </w:trPr>
        <w:tc>
          <w:tcPr>
            <w:tcW w:w="360" w:type="dxa"/>
            <w:vMerge/>
          </w:tcPr>
          <w:p>
            <w:pPr>
              <w:pStyle w:val="TableText"/>
            </w:pPr>
          </w:p>
        </w:tc>
        <w:tc>
          <w:tcPr>
            <w:tcW w:w="360" w:type="dxa"/>
            <w:vMerge/>
          </w:tcPr>
          <w:p>
            <w:pPr>
              <w:pStyle w:val="TableText"/>
            </w:pPr>
          </w:p>
        </w:tc>
        <w:tc>
          <w:tcPr>
            <w:tcW w:w="3498" w:type="pct"/>
            <w:tcBorders>
              <w:top w:val="single" w:sz="6" w:space="0" w:color="000000"/>
              <w:bottom w:val="single" w:sz="6" w:space="0" w:color="000000"/>
              <w:right w:val="single" w:sz="6" w:space="0" w:color="000000"/>
            </w:tcBorders>
          </w:tcPr>
          <w:p>
            <w:pPr>
              <w:pStyle w:val="TableText"/>
            </w:pPr>
            <w:r>
              <w:t>The maximum number of NAS HyperCDP objects for some products is increased to 128,000.</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2</w:t>
            </w:r>
          </w:p>
        </w:tc>
        <w:tc>
          <w:tcPr>
            <w:tcW w:w="1102" w:type="pct"/>
            <w:tcBorders>
              <w:top w:val="single" w:sz="6" w:space="0" w:color="000000"/>
              <w:bottom w:val="single" w:sz="6" w:space="0" w:color="000000"/>
              <w:right w:val="single" w:sz="6" w:space="0" w:color="000000"/>
            </w:tcBorders>
          </w:tcPr>
          <w:p>
            <w:pPr>
              <w:pStyle w:val="TableText"/>
            </w:pPr>
            <w:r>
              <w:t>NAS 4DC</w:t>
            </w:r>
          </w:p>
        </w:tc>
        <w:tc>
          <w:tcPr>
            <w:tcW w:w="3498" w:type="pct"/>
            <w:tcBorders>
              <w:top w:val="single" w:sz="6" w:space="0" w:color="000000"/>
              <w:bottom w:val="single" w:sz="6" w:space="0" w:color="000000"/>
            </w:tcBorders>
          </w:tcPr>
          <w:p>
            <w:pPr>
              <w:pStyle w:val="TableText"/>
            </w:pPr>
            <w:r>
              <w:t>NAS 4DC supports the networking of active-active (A &lt;-&gt; B) + asynchronous replication (B -&gt; C) + active-active (C &lt;-&gt; 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3</w:t>
            </w:r>
          </w:p>
        </w:tc>
        <w:tc>
          <w:tcPr>
            <w:tcW w:w="1102" w:type="pct"/>
            <w:tcBorders>
              <w:top w:val="single" w:sz="6" w:space="0" w:color="000000"/>
              <w:bottom w:val="single" w:sz="6" w:space="0" w:color="000000"/>
              <w:right w:val="single" w:sz="6" w:space="0" w:color="000000"/>
            </w:tcBorders>
          </w:tcPr>
          <w:p>
            <w:pPr>
              <w:pStyle w:val="TableText"/>
            </w:pPr>
            <w:r>
              <w:t>Performance monitoring</w:t>
            </w:r>
          </w:p>
        </w:tc>
        <w:tc>
          <w:tcPr>
            <w:tcW w:w="3498" w:type="pct"/>
            <w:tcBorders>
              <w:top w:val="single" w:sz="6" w:space="0" w:color="000000"/>
              <w:bottom w:val="single" w:sz="6" w:space="0" w:color="000000"/>
            </w:tcBorders>
          </w:tcPr>
          <w:p>
            <w:pPr>
              <w:pStyle w:val="TableText"/>
            </w:pPr>
            <w:r>
              <w:t>NAS performance statistics items at the array and file system levels are added.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4</w:t>
            </w:r>
          </w:p>
        </w:tc>
        <w:tc>
          <w:tcPr>
            <w:tcW w:w="1102" w:type="pct"/>
            <w:tcBorders>
              <w:top w:val="single" w:sz="6" w:space="0" w:color="000000"/>
              <w:bottom w:val="single" w:sz="6" w:space="0" w:color="000000"/>
              <w:right w:val="single" w:sz="6" w:space="0" w:color="000000"/>
            </w:tcBorders>
          </w:tcPr>
          <w:p>
            <w:pPr>
              <w:pStyle w:val="TableText"/>
            </w:pPr>
            <w:r>
              <w:t>Data security</w:t>
            </w:r>
          </w:p>
        </w:tc>
        <w:tc>
          <w:tcPr>
            <w:tcW w:w="3498" w:type="pct"/>
            <w:tcBorders>
              <w:top w:val="single" w:sz="6" w:space="0" w:color="000000"/>
              <w:bottom w:val="single" w:sz="6" w:space="0" w:color="000000"/>
            </w:tcBorders>
          </w:tcPr>
          <w:p>
            <w:pPr>
              <w:pStyle w:val="TableText"/>
            </w:pPr>
            <w:r>
              <w:t>SAN ransomware protection is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5</w:t>
            </w:r>
          </w:p>
        </w:tc>
        <w:tc>
          <w:tcPr>
            <w:tcW w:w="1102" w:type="pct"/>
            <w:tcBorders>
              <w:top w:val="single" w:sz="6" w:space="0" w:color="000000"/>
              <w:bottom w:val="single" w:sz="6" w:space="0" w:color="000000"/>
              <w:right w:val="single" w:sz="6" w:space="0" w:color="000000"/>
            </w:tcBorders>
          </w:tcPr>
          <w:p>
            <w:pPr>
              <w:pStyle w:val="TableText"/>
            </w:pPr>
            <w:r>
              <w:t>Hardware capability</w:t>
            </w:r>
          </w:p>
        </w:tc>
        <w:tc>
          <w:tcPr>
            <w:tcW w:w="3498" w:type="pct"/>
            <w:tcBorders>
              <w:top w:val="single" w:sz="6" w:space="0" w:color="000000"/>
              <w:bottom w:val="single" w:sz="6" w:space="0" w:color="000000"/>
            </w:tcBorders>
          </w:tcPr>
          <w:p>
            <w:pPr>
              <w:pStyle w:val="TableText"/>
            </w:pPr>
            <w:r>
              <w:t>64 Gbit/s Fibre Channel interfaces are supported.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6</w:t>
            </w:r>
          </w:p>
        </w:tc>
        <w:tc>
          <w:tcPr>
            <w:tcW w:w="1102" w:type="pct"/>
            <w:tcBorders>
              <w:top w:val="single" w:sz="6" w:space="0" w:color="000000"/>
              <w:bottom w:val="single" w:sz="6" w:space="0" w:color="000000"/>
              <w:right w:val="single" w:sz="6" w:space="0" w:color="000000"/>
            </w:tcBorders>
          </w:tcPr>
          <w:p>
            <w:pPr>
              <w:pStyle w:val="TableText"/>
            </w:pPr>
            <w:r>
              <w:t>Network capability</w:t>
            </w:r>
          </w:p>
        </w:tc>
        <w:tc>
          <w:tcPr>
            <w:tcW w:w="3498" w:type="pct"/>
            <w:tcBorders>
              <w:top w:val="single" w:sz="6" w:space="0" w:color="000000"/>
              <w:bottom w:val="single" w:sz="6" w:space="0" w:color="000000"/>
            </w:tcBorders>
          </w:tcPr>
          <w:p>
            <w:pPr>
              <w:pStyle w:val="TableText"/>
            </w:pPr>
            <w:r>
              <w:t>IPv6 is supported for BGP.</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7</w:t>
            </w:r>
          </w:p>
        </w:tc>
        <w:tc>
          <w:tcPr>
            <w:tcW w:w="1102" w:type="pct"/>
            <w:tcBorders>
              <w:top w:val="single" w:sz="6" w:space="0" w:color="000000"/>
              <w:bottom w:val="single" w:sz="6" w:space="0" w:color="000000"/>
              <w:right w:val="single" w:sz="6" w:space="0" w:color="000000"/>
            </w:tcBorders>
          </w:tcPr>
          <w:p>
            <w:pPr>
              <w:pStyle w:val="TableText"/>
            </w:pPr>
            <w:r>
              <w:t>Collecting Information</w:t>
            </w:r>
          </w:p>
        </w:tc>
        <w:tc>
          <w:tcPr>
            <w:tcW w:w="3498" w:type="pct"/>
            <w:tcBorders>
              <w:top w:val="single" w:sz="6" w:space="0" w:color="000000"/>
              <w:bottom w:val="single" w:sz="6" w:space="0" w:color="000000"/>
            </w:tcBorders>
          </w:tcPr>
          <w:p>
            <w:pPr>
              <w:pStyle w:val="TableText"/>
            </w:pPr>
            <w:r>
              <w:t>LLDP information can be queried using Restful APIs.</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8</w:t>
            </w:r>
          </w:p>
        </w:tc>
        <w:tc>
          <w:tcPr>
            <w:tcW w:w="1102" w:type="pct"/>
            <w:tcBorders>
              <w:top w:val="single" w:sz="6" w:space="0" w:color="000000"/>
              <w:bottom w:val="single" w:sz="6" w:space="0" w:color="000000"/>
              <w:right w:val="single" w:sz="6" w:space="0" w:color="000000"/>
            </w:tcBorders>
          </w:tcPr>
          <w:p>
            <w:pPr>
              <w:pStyle w:val="TableText"/>
            </w:pPr>
            <w:r>
              <w:t>Log dump</w:t>
            </w:r>
          </w:p>
        </w:tc>
        <w:tc>
          <w:tcPr>
            <w:tcW w:w="3498" w:type="pct"/>
            <w:tcBorders>
              <w:top w:val="single" w:sz="6" w:space="0" w:color="000000"/>
              <w:bottom w:val="single" w:sz="6" w:space="0" w:color="000000"/>
            </w:tcBorders>
          </w:tcPr>
          <w:p>
            <w:pPr>
              <w:pStyle w:val="TableText"/>
            </w:pPr>
            <w:r>
              <w:t>The configuration and performance of exporting audit logs to an external syslog server are optimized.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9</w:t>
            </w:r>
          </w:p>
        </w:tc>
        <w:tc>
          <w:tcPr>
            <w:tcW w:w="1102" w:type="pct"/>
            <w:tcBorders>
              <w:top w:val="single" w:sz="6" w:space="0" w:color="000000"/>
              <w:bottom w:val="single" w:sz="6" w:space="0" w:color="000000"/>
              <w:right w:val="single" w:sz="6" w:space="0" w:color="000000"/>
            </w:tcBorders>
          </w:tcPr>
          <w:p>
            <w:pPr>
              <w:pStyle w:val="TableText"/>
            </w:pPr>
            <w:r>
              <w:t>Kerberos realm control</w:t>
            </w:r>
          </w:p>
        </w:tc>
        <w:tc>
          <w:tcPr>
            <w:tcW w:w="3498" w:type="pct"/>
            <w:tcBorders>
              <w:top w:val="single" w:sz="6" w:space="0" w:color="000000"/>
              <w:bottom w:val="single" w:sz="6" w:space="0" w:color="000000"/>
            </w:tcBorders>
          </w:tcPr>
          <w:p>
            <w:pPr>
              <w:pStyle w:val="TableText"/>
            </w:pPr>
            <w:r>
              <w:t>The flexibility of OU authentication configuration in NFS Kerberos realm scenarios is improved.</w:t>
            </w:r>
          </w:p>
        </w:tc>
      </w:tr>
      <w:tr>
        <w:tblPrEx>
          <w:tblW w:w="7938" w:type="dxa"/>
          <w:tblInd w:w="1814" w:type="dxa"/>
          <w:tblLayout w:type="fixed"/>
          <w:tblLook w:val="01E0"/>
        </w:tblPrEx>
        <w:trPr>
          <w:cantSplit w:val="0"/>
        </w:trPr>
        <w:tc>
          <w:tcPr>
            <w:tcW w:w="400" w:type="pct"/>
            <w:tcBorders>
              <w:top w:val="single" w:sz="6" w:space="0" w:color="000000"/>
              <w:bottom w:val="single" w:sz="6" w:space="0" w:color="000000"/>
              <w:right w:val="single" w:sz="6" w:space="0" w:color="000000"/>
            </w:tcBorders>
          </w:tcPr>
          <w:p>
            <w:pPr>
              <w:pStyle w:val="TableText"/>
            </w:pPr>
            <w:r>
              <w:t>10</w:t>
            </w:r>
          </w:p>
        </w:tc>
        <w:tc>
          <w:tcPr>
            <w:tcW w:w="1102" w:type="pct"/>
            <w:tcBorders>
              <w:top w:val="single" w:sz="6" w:space="0" w:color="000000"/>
              <w:bottom w:val="single" w:sz="6" w:space="0" w:color="000000"/>
              <w:right w:val="single" w:sz="6" w:space="0" w:color="000000"/>
            </w:tcBorders>
          </w:tcPr>
          <w:p>
            <w:pPr>
              <w:pStyle w:val="TableText"/>
            </w:pPr>
            <w:r>
              <w:t>Multi-tenant function</w:t>
            </w:r>
          </w:p>
        </w:tc>
        <w:tc>
          <w:tcPr>
            <w:tcW w:w="3498" w:type="pct"/>
            <w:tcBorders>
              <w:top w:val="single" w:sz="6" w:space="0" w:color="000000"/>
              <w:bottom w:val="single" w:sz="6" w:space="0" w:color="000000"/>
            </w:tcBorders>
          </w:tcPr>
          <w:p>
            <w:pPr>
              <w:pStyle w:val="TableText"/>
            </w:pPr>
            <w:r>
              <w:t>The maintainability of vStore capacity quota alarms is optimized.</w:t>
            </w:r>
          </w:p>
        </w:tc>
      </w:tr>
    </w:tbl>
    <w:p/>
    <w:bookmarkStart w:id="41" w:name="_EN-US_TOPIC_0000002042891017"/>
    <w:bookmarkEnd w:id="41"/>
    <w:p>
      <w:pPr>
        <w:pStyle w:val="Heading2"/>
      </w:pPr>
      <w:bookmarkStart w:id="42" w:name="_EN-US_TOPIC_0000002042891017-chtext"/>
      <w:bookmarkStart w:id="43" w:name="_Toc256000014"/>
      <w:r>
        <w:t>Resolved Issues</w:t>
      </w:r>
      <w:bookmarkEnd w:id="43"/>
      <w:bookmarkEnd w:id="42"/>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323"/>
        <w:gridCol w:w="5615"/>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3537" w:type="pct"/>
            <w:tcBorders>
              <w:top w:val="single" w:sz="6" w:space="0" w:color="000000"/>
              <w:bottom w:val="single" w:sz="6" w:space="0" w:color="000000"/>
            </w:tcBorders>
          </w:tcPr>
          <w:p>
            <w:pPr>
              <w:pStyle w:val="TableText"/>
            </w:pPr>
            <w:r>
              <w:t>The security vulnerabilities of the open-source software curl and OpenSSL need to be fixed.</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37" w:type="pct"/>
            <w:tcBorders>
              <w:top w:val="single" w:sz="6" w:space="0" w:color="000000"/>
              <w:bottom w:val="single" w:sz="6" w:space="0" w:color="000000"/>
            </w:tcBorders>
          </w:tcPr>
          <w:p>
            <w:pPr>
              <w:pStyle w:val="TableText"/>
            </w:pPr>
            <w:r>
              <w:t>Medium</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37" w:type="pct"/>
            <w:tcBorders>
              <w:top w:val="single" w:sz="6" w:space="0" w:color="000000"/>
              <w:bottom w:val="single" w:sz="6" w:space="0" w:color="000000"/>
            </w:tcBorders>
          </w:tcPr>
          <w:p>
            <w:pPr>
              <w:pStyle w:val="TableText"/>
            </w:pPr>
            <w:r>
              <w:t>Open-source vulnerabilities (CVE-2024-9681 and CVE-2024-6119) found in the latest scanning of product threat intelligence need to be fixed.</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37" w:type="pct"/>
            <w:tcBorders>
              <w:top w:val="single" w:sz="6" w:space="0" w:color="000000"/>
              <w:bottom w:val="single" w:sz="6" w:space="0" w:color="000000"/>
            </w:tcBorders>
          </w:tcPr>
          <w:p>
            <w:pPr>
              <w:pStyle w:val="TableText"/>
            </w:pPr>
            <w:r>
              <w:t>Update the versions of the integrated curl and OpenSSL components.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37" w:type="pct"/>
            <w:tcBorders>
              <w:top w:val="single" w:sz="6" w:space="0" w:color="000000"/>
              <w:bottom w:val="single" w:sz="6" w:space="0" w:color="000000"/>
            </w:tcBorders>
          </w:tcPr>
          <w:p>
            <w:pPr>
              <w:pStyle w:val="TableText"/>
            </w:pPr>
            <w:r>
              <w:t>None</w:t>
            </w:r>
          </w:p>
        </w:tc>
      </w:tr>
    </w:tbl>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323"/>
        <w:gridCol w:w="5615"/>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3537" w:type="pct"/>
            <w:tcBorders>
              <w:top w:val="single" w:sz="6" w:space="0" w:color="000000"/>
              <w:bottom w:val="single" w:sz="6" w:space="0" w:color="000000"/>
            </w:tcBorders>
          </w:tcPr>
          <w:p>
            <w:pPr>
              <w:pStyle w:val="TableText"/>
            </w:pPr>
            <w:r>
              <w:t>During fault information collection using SmartKit, only partial recent logs are exported successfully.</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Severity</w:t>
            </w:r>
          </w:p>
        </w:tc>
        <w:tc>
          <w:tcPr>
            <w:tcW w:w="3537" w:type="pct"/>
            <w:tcBorders>
              <w:top w:val="single" w:sz="6" w:space="0" w:color="000000"/>
              <w:bottom w:val="single" w:sz="6" w:space="0" w:color="000000"/>
            </w:tcBorders>
          </w:tcPr>
          <w:p>
            <w:pPr>
              <w:pStyle w:val="TableText"/>
            </w:pPr>
            <w:r>
              <w:t>Medium</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Root Cause</w:t>
            </w:r>
          </w:p>
        </w:tc>
        <w:tc>
          <w:tcPr>
            <w:tcW w:w="3537" w:type="pct"/>
            <w:tcBorders>
              <w:top w:val="single" w:sz="6" w:space="0" w:color="000000"/>
              <w:bottom w:val="single" w:sz="6" w:space="0" w:color="000000"/>
            </w:tcBorders>
          </w:tcPr>
          <w:p>
            <w:pPr>
              <w:pStyle w:val="TableText"/>
            </w:pPr>
            <w:r>
              <w:t>The concurrency control of log collection tasks in the storage system is abnormal. As a result, the log collection task times out.</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Solution</w:t>
            </w:r>
          </w:p>
        </w:tc>
        <w:tc>
          <w:tcPr>
            <w:tcW w:w="3537" w:type="pct"/>
            <w:tcBorders>
              <w:top w:val="single" w:sz="6" w:space="0" w:color="000000"/>
              <w:bottom w:val="single" w:sz="6" w:space="0" w:color="000000"/>
            </w:tcBorders>
          </w:tcPr>
          <w:p>
            <w:pPr>
              <w:pStyle w:val="TableText"/>
            </w:pPr>
            <w:r>
              <w:t>Rectify the defect in log collection tasks.</w:t>
            </w:r>
          </w:p>
        </w:tc>
      </w:tr>
      <w:tr>
        <w:tblPrEx>
          <w:tblW w:w="7938" w:type="dxa"/>
          <w:tblInd w:w="1814" w:type="dxa"/>
          <w:tblLayout w:type="fixed"/>
          <w:tblLook w:val="01E0"/>
        </w:tblPrEx>
        <w:trPr>
          <w:cantSplit w:val="0"/>
        </w:trPr>
        <w:tc>
          <w:tcPr>
            <w:tcW w:w="1463" w:type="pct"/>
            <w:tcBorders>
              <w:top w:val="single" w:sz="6" w:space="0" w:color="000000"/>
              <w:bottom w:val="single" w:sz="6" w:space="0" w:color="000000"/>
              <w:right w:val="single" w:sz="6" w:space="0" w:color="000000"/>
            </w:tcBorders>
            <w:shd w:val="clear" w:color="auto" w:fill="D9D9D9"/>
          </w:tcPr>
          <w:p>
            <w:pPr>
              <w:pStyle w:val="TableHeading"/>
            </w:pPr>
            <w:r>
              <w:t>Impact</w:t>
            </w:r>
          </w:p>
        </w:tc>
        <w:tc>
          <w:tcPr>
            <w:tcW w:w="3537" w:type="pct"/>
            <w:tcBorders>
              <w:top w:val="single" w:sz="6" w:space="0" w:color="000000"/>
              <w:bottom w:val="single" w:sz="6" w:space="0" w:color="000000"/>
            </w:tcBorders>
          </w:tcPr>
          <w:p>
            <w:pPr>
              <w:pStyle w:val="TableText"/>
            </w:pPr>
            <w:r>
              <w:t>None</w:t>
            </w:r>
          </w:p>
        </w:tc>
      </w:tr>
    </w:tbl>
    <w:p/>
    <w:bookmarkStart w:id="44" w:name="_EN-US_TOPIC_0000002042891061"/>
    <w:bookmarkEnd w:id="44"/>
    <w:p>
      <w:pPr>
        <w:pStyle w:val="Heading2"/>
      </w:pPr>
      <w:bookmarkStart w:id="45" w:name="_EN-US_TOPIC_0000002042891061-chtext"/>
      <w:bookmarkStart w:id="46" w:name="_Toc256000015"/>
      <w:r>
        <w:t>Known Issues</w:t>
      </w:r>
      <w:bookmarkEnd w:id="46"/>
      <w:bookmarkEnd w:id="45"/>
    </w:p>
    <w:p>
      <w:r>
        <w:t>None</w:t>
      </w:r>
    </w:p>
    <w:p>
      <w:pPr>
        <w:sectPr>
          <w:headerReference w:type="even" r:id="rId47"/>
          <w:headerReference w:type="default" r:id="rId48"/>
          <w:footerReference w:type="even" r:id="rId49"/>
          <w:footerReference w:type="default" r:id="rId50"/>
          <w:type w:val="nextPage"/>
          <w:pgSz w:w="11907" w:h="16840" w:code="9"/>
          <w:pgMar w:top="1701" w:right="1134" w:bottom="1701" w:left="1134" w:header="567" w:footer="567" w:gutter="0"/>
          <w:pgNumType w:fmt="decimal"/>
          <w:cols w:space="425"/>
          <w:docGrid w:linePitch="312"/>
        </w:sectPr>
      </w:pPr>
    </w:p>
    <w:bookmarkStart w:id="47" w:name="_EN-US_TOPIC_0000002042890845"/>
    <w:bookmarkEnd w:id="47"/>
    <w:p>
      <w:pPr>
        <w:pStyle w:val="Heading1"/>
      </w:pPr>
      <w:bookmarkStart w:id="48" w:name="_EN-US_TOPIC_0000002042890845-chtext"/>
      <w:bookmarkStart w:id="49" w:name="_Toc256000016"/>
      <w:r>
        <w:t>Related Documentation</w:t>
      </w:r>
      <w:bookmarkEnd w:id="49"/>
      <w:bookmarkEnd w:id="48"/>
    </w:p>
    <w:p>
      <w:r>
        <w:t>This chapter lists documentation released with this version and describes how to obtain the documentation.</w:t>
      </w:r>
    </w:p>
    <w:p>
      <w:hyperlink w:anchor="_EN-US_TOPIC_0000002006851934" w:tooltip=" " w:history="1">
        <w:r>
          <w:rPr>
            <w:rStyle w:val="Hyperlink"/>
          </w:rPr>
          <w:t>5.1  V700R001C00SPC200 Documentation</w:t>
        </w:r>
      </w:hyperlink>
    </w:p>
    <w:p>
      <w:hyperlink w:anchor="_EN-US_TOPIC_0000002007010102" w:tooltip=" " w:history="1">
        <w:r>
          <w:rPr>
            <w:rStyle w:val="Hyperlink"/>
          </w:rPr>
          <w:t>5.2  Obtaining Documentation</w:t>
        </w:r>
      </w:hyperlink>
    </w:p>
    <w:bookmarkStart w:id="50" w:name="_EN-US_TOPIC_0000002006851934"/>
    <w:bookmarkEnd w:id="50"/>
    <w:p>
      <w:pPr>
        <w:pStyle w:val="Heading2"/>
        <w:numPr>
          <w:numId w:val="59"/>
        </w:numPr>
      </w:pPr>
      <w:bookmarkStart w:id="51" w:name="_EN-US_TOPIC_0000002006851934-chtext"/>
      <w:bookmarkStart w:id="52" w:name="_Toc256000017"/>
      <w:r>
        <w:t>V700R001C00SPC200 Documentation</w:t>
      </w:r>
      <w:bookmarkEnd w:id="52"/>
      <w:bookmarkEnd w:id="51"/>
    </w:p>
    <w:p>
      <w:r>
        <w:t>This section describes documentation for the OceanStor Dorado V700R001C00SPC200 storage systems.</w:t>
      </w:r>
    </w:p>
    <w:tbl>
      <w:tblPr>
        <w:tblStyle w:val="Table"/>
        <w:tblW w:w="7938" w:type="dxa"/>
        <w:tblInd w:w="1814" w:type="dxa"/>
        <w:tblLayout w:type="fixed"/>
        <w:tblLook w:val="01E0"/>
      </w:tblPr>
      <w:tblGrid>
        <w:gridCol w:w="3433"/>
        <w:gridCol w:w="3624"/>
        <w:gridCol w:w="881"/>
      </w:tblGrid>
      <w:tr>
        <w:tblPrEx>
          <w:tblW w:w="7938" w:type="dxa"/>
          <w:tblInd w:w="1814" w:type="dxa"/>
          <w:tblLayout w:type="fixed"/>
          <w:tblLook w:val="01E0"/>
        </w:tblPrEx>
        <w:trPr>
          <w:cantSplit w:val="0"/>
          <w:tblHeader/>
        </w:trPr>
        <w:tc>
          <w:tcPr>
            <w:tcW w:w="2162" w:type="pct"/>
            <w:tcBorders>
              <w:top w:val="single" w:sz="6" w:space="0" w:color="000000"/>
              <w:bottom w:val="single" w:sz="6" w:space="0" w:color="000000"/>
              <w:right w:val="single" w:sz="6" w:space="0" w:color="000000"/>
            </w:tcBorders>
            <w:shd w:val="clear" w:color="auto" w:fill="D9D9D9"/>
          </w:tcPr>
          <w:p>
            <w:pPr>
              <w:pStyle w:val="TableHeading"/>
            </w:pPr>
            <w:r>
              <w:t>Document</w:t>
            </w:r>
          </w:p>
        </w:tc>
        <w:tc>
          <w:tcPr>
            <w:tcW w:w="2283" w:type="pct"/>
            <w:tcBorders>
              <w:top w:val="single" w:sz="6" w:space="0" w:color="000000"/>
              <w:bottom w:val="single" w:sz="6" w:space="0" w:color="000000"/>
              <w:right w:val="single" w:sz="6" w:space="0" w:color="000000"/>
            </w:tcBorders>
            <w:shd w:val="clear" w:color="auto" w:fill="D9D9D9"/>
          </w:tcPr>
          <w:p>
            <w:pPr>
              <w:pStyle w:val="TableHeading"/>
            </w:pPr>
            <w:r>
              <w:t>Description</w:t>
            </w:r>
          </w:p>
        </w:tc>
        <w:tc>
          <w:tcPr>
            <w:tcW w:w="556" w:type="pct"/>
            <w:tcBorders>
              <w:top w:val="single" w:sz="6" w:space="0" w:color="000000"/>
              <w:bottom w:val="single" w:sz="6" w:space="0" w:color="000000"/>
            </w:tcBorders>
            <w:shd w:val="clear" w:color="auto" w:fill="D9D9D9"/>
          </w:tcPr>
          <w:p>
            <w:pPr>
              <w:pStyle w:val="TableHeading"/>
            </w:pPr>
            <w:r>
              <w:t>Delivery Mode</w:t>
            </w:r>
          </w:p>
        </w:tc>
      </w:tr>
      <w:tr>
        <w:tblPrEx>
          <w:tblW w:w="7938" w:type="dxa"/>
          <w:tblInd w:w="1814" w:type="dxa"/>
          <w:tblLayout w:type="fixed"/>
          <w:tblLook w:val="01E0"/>
        </w:tblPrEx>
        <w:trPr>
          <w:cantSplit w:val="0"/>
        </w:trPr>
        <w:tc>
          <w:tcPr>
            <w:tcW w:w="2162" w:type="pct"/>
            <w:tcBorders>
              <w:top w:val="single" w:sz="6" w:space="0" w:color="000000"/>
              <w:bottom w:val="single" w:sz="6" w:space="0" w:color="000000"/>
              <w:right w:val="single" w:sz="6" w:space="0" w:color="000000"/>
            </w:tcBorders>
          </w:tcPr>
          <w:p>
            <w:pPr>
              <w:pStyle w:val="TableText"/>
            </w:pPr>
            <w:r>
              <w:t>OceanStor Dorado 2000, 3000, Dorado 5000, and Dorado 6000 V700R001C00 Product Documentation</w:t>
            </w:r>
          </w:p>
          <w:p>
            <w:pPr>
              <w:pStyle w:val="TableText"/>
            </w:pPr>
            <w:r>
              <w:t>OceanStor Dorado 8000 and Dorado 18000 V700R001C00 Product Documentation</w:t>
            </w:r>
          </w:p>
        </w:tc>
        <w:tc>
          <w:tcPr>
            <w:tcW w:w="2283" w:type="pct"/>
            <w:tcBorders>
              <w:top w:val="single" w:sz="6" w:space="0" w:color="000000"/>
              <w:bottom w:val="single" w:sz="6" w:space="0" w:color="000000"/>
              <w:right w:val="single" w:sz="6" w:space="0" w:color="000000"/>
            </w:tcBorders>
          </w:tcPr>
          <w:p>
            <w:pPr>
              <w:pStyle w:val="TableText"/>
            </w:pPr>
            <w:r>
              <w:t>Provides information about the installation, commissioning, configuration, maintenance, and troubleshooting of the storage system.</w:t>
            </w:r>
          </w:p>
        </w:tc>
        <w:tc>
          <w:tcPr>
            <w:tcW w:w="556" w:type="pct"/>
            <w:tcBorders>
              <w:top w:val="single" w:sz="6" w:space="0" w:color="000000"/>
              <w:bottom w:val="single" w:sz="6" w:space="0" w:color="000000"/>
            </w:tcBorders>
          </w:tcPr>
          <w:p>
            <w:pPr>
              <w:pStyle w:val="TableText"/>
            </w:pPr>
            <w:r>
              <w:t>Website</w:t>
            </w:r>
          </w:p>
        </w:tc>
      </w:tr>
    </w:tbl>
    <w:p/>
    <w:bookmarkStart w:id="53" w:name="_EN-US_TOPIC_0000002007010102"/>
    <w:bookmarkEnd w:id="53"/>
    <w:p>
      <w:pPr>
        <w:pStyle w:val="Heading2"/>
      </w:pPr>
      <w:bookmarkStart w:id="54" w:name="_EN-US_TOPIC_0000002007010102-chtext"/>
      <w:bookmarkStart w:id="55" w:name="_Toc256000018"/>
      <w:r>
        <w:t>Obtaining Documentation</w:t>
      </w:r>
      <w:bookmarkEnd w:id="55"/>
      <w:bookmarkEnd w:id="54"/>
    </w:p>
    <w:p>
      <w:r>
        <w:t>This section describes how to obtain the documentation released with OceanStor Dorado V700R001C00 storage systems.</w:t>
      </w:r>
    </w:p>
    <w:p>
      <w:pPr>
        <w:pStyle w:val="BlockLabel"/>
      </w:pPr>
      <w:r>
        <w:t>Procedure</w:t>
      </w:r>
    </w:p>
    <w:p>
      <w:pPr>
        <w:pStyle w:val="Step"/>
        <w:numPr>
          <w:numId w:val="63"/>
        </w:numPr>
      </w:pPr>
      <w:r>
        <w:t>Go to the official website.</w:t>
      </w:r>
    </w:p>
    <w:p>
      <w:r>
        <w:t xml:space="preserve">For enterprises: </w:t>
      </w:r>
      <w:hyperlink r:id="rId51" w:tooltip=" " w:history="1">
        <w:r>
          <w:rPr>
            <w:rStyle w:val="Hyperlink"/>
          </w:rPr>
          <w:t>https://support.huawei.com/enterprise</w:t>
        </w:r>
      </w:hyperlink>
    </w:p>
    <w:p>
      <w:r>
        <w:t xml:space="preserve">For carriers: </w:t>
      </w:r>
      <w:hyperlink r:id="rId52" w:tooltip=" " w:history="1">
        <w:r>
          <w:rPr>
            <w:rStyle w:val="Hyperlink"/>
          </w:rPr>
          <w:t>https://support.huawei.com/carrier</w:t>
        </w:r>
      </w:hyperlink>
    </w:p>
    <w:p>
      <w:pPr>
        <w:pStyle w:val="Step"/>
      </w:pPr>
      <w:r>
        <w:t xml:space="preserve">Click </w:t>
      </w:r>
      <w:r>
        <w:rPr>
          <w:b/>
        </w:rPr>
        <w:t>Login</w:t>
      </w:r>
      <w:r>
        <w:t xml:space="preserve"> or </w:t>
      </w:r>
      <w:r>
        <w:rPr>
          <w:b/>
        </w:rPr>
        <w:t>Sign in</w:t>
      </w:r>
      <w:r>
        <w:t>. Enter your user name and password.</w:t>
      </w:r>
    </w:p>
    <w:p>
      <w:pPr>
        <w:pStyle w:val="NotesHeading"/>
        <w:rPr>
          <w:rFonts w:hint="eastAsia"/>
        </w:rPr>
      </w:pPr>
      <w:r>
        <w:rPr>
          <w:rFonts w:hint="eastAsia"/>
          <w:color w:val="339966"/>
        </w:rPr>
        <w:pict>
          <v:shape id="_x0000_i1031" type="#_x0000_t75" style="width:54.08pt;height:19pt">
            <v:imagedata r:id="rId34" o:title="note"/>
          </v:shape>
        </w:pict>
      </w:r>
    </w:p>
    <w:p>
      <w:pPr>
        <w:pStyle w:val="NotesText"/>
      </w:pPr>
      <w:r>
        <w:t>If you are using the website for the first time, register with the website.</w:t>
      </w:r>
    </w:p>
    <w:p>
      <w:pPr>
        <w:pStyle w:val="Step"/>
      </w:pPr>
      <w:r>
        <w:t>After login:</w:t>
      </w:r>
    </w:p>
    <w:p>
      <w:r>
        <w:t xml:space="preserve">If you are an enterprise user, choose </w:t>
      </w:r>
      <w:r>
        <w:rPr>
          <w:b/>
        </w:rPr>
        <w:t>Technical Support</w:t>
      </w:r>
      <w:r>
        <w:t xml:space="preserve"> &gt; </w:t>
      </w:r>
      <w:r>
        <w:rPr>
          <w:b/>
        </w:rPr>
        <w:t>Flash Storage</w:t>
      </w:r>
      <w:r>
        <w:t xml:space="preserve"> &gt; </w:t>
      </w:r>
      <w:r>
        <w:rPr>
          <w:b/>
        </w:rPr>
        <w:t>Convergent Storage</w:t>
      </w:r>
      <w:r>
        <w:t>.</w:t>
      </w:r>
    </w:p>
    <w:p>
      <w:r>
        <w:t xml:space="preserve">If you are a carrier user, choose </w:t>
      </w:r>
      <w:r>
        <w:rPr>
          <w:b/>
        </w:rPr>
        <w:t>Support</w:t>
      </w:r>
      <w:r>
        <w:t xml:space="preserve"> &gt; </w:t>
      </w:r>
      <w:r>
        <w:rPr>
          <w:b/>
        </w:rPr>
        <w:t>Product Support</w:t>
      </w:r>
      <w:r>
        <w:t xml:space="preserve"> &gt; </w:t>
      </w:r>
      <w:r>
        <w:rPr>
          <w:b/>
        </w:rPr>
        <w:t>Data Storage</w:t>
      </w:r>
      <w:r>
        <w:t xml:space="preserve"> &gt; </w:t>
      </w:r>
      <w:r>
        <w:rPr>
          <w:b/>
        </w:rPr>
        <w:t>Flash Storage</w:t>
      </w:r>
      <w:r>
        <w:t xml:space="preserve"> &gt; </w:t>
      </w:r>
      <w:r>
        <w:rPr>
          <w:b/>
        </w:rPr>
        <w:t>All-flash Storage</w:t>
      </w:r>
      <w:r>
        <w:t>.</w:t>
      </w:r>
    </w:p>
    <w:p>
      <w:pPr>
        <w:pStyle w:val="Step"/>
      </w:pPr>
      <w:r>
        <w:t>Click the desired product. You can view the product documents on the product page, or retrieve document or software titles to find desired documents or software.</w:t>
      </w:r>
    </w:p>
    <w:p>
      <w:pPr>
        <w:pStyle w:val="NotesHeading"/>
        <w:rPr>
          <w:rFonts w:hint="eastAsia"/>
        </w:rPr>
      </w:pPr>
      <w:r>
        <w:rPr>
          <w:rFonts w:hint="eastAsia"/>
          <w:color w:val="339966"/>
        </w:rPr>
        <w:pict>
          <v:shape id="_x0000_i1032" type="#_x0000_t75" style="width:54.08pt;height:19pt">
            <v:imagedata r:id="rId34" o:title="note"/>
          </v:shape>
        </w:pict>
      </w:r>
    </w:p>
    <w:p>
      <w:pPr>
        <w:pStyle w:val="NotesText"/>
      </w:pPr>
      <w:r>
        <w:t xml:space="preserve">If the file name extension of a documentation package is </w:t>
      </w:r>
      <w:r>
        <w:rPr>
          <w:b/>
        </w:rPr>
        <w:t>.hdx</w:t>
      </w:r>
      <w:r>
        <w:t>, use ICS Lite to view the documents. You can obtain the software from Huawei technical support engineers.</w:t>
      </w:r>
    </w:p>
    <w:p>
      <w:pPr>
        <w:pStyle w:val="End"/>
      </w:pPr>
      <w:r>
        <w:t>----End</w:t>
      </w:r>
    </w:p>
    <w:p>
      <w:pPr>
        <w:sectPr>
          <w:headerReference w:type="even" r:id="rId53"/>
          <w:headerReference w:type="default" r:id="rId54"/>
          <w:footerReference w:type="even" r:id="rId55"/>
          <w:footerReference w:type="default" r:id="rId56"/>
          <w:type w:val="nextPage"/>
          <w:pgSz w:w="11907" w:h="16840" w:code="9"/>
          <w:pgMar w:top="1701" w:right="1134" w:bottom="1701" w:left="1134" w:header="567" w:footer="567" w:gutter="0"/>
          <w:pgNumType w:fmt="decimal"/>
          <w:cols w:space="425"/>
          <w:docGrid w:linePitch="312"/>
        </w:sectPr>
      </w:pPr>
    </w:p>
    <w:p>
      <w:pPr>
        <w:pStyle w:val="Appendixheading1"/>
      </w:pPr>
      <w:bookmarkStart w:id="56" w:name="_EN-US_TOPIC_0000002042890873"/>
      <w:bookmarkEnd w:id="56"/>
      <w:bookmarkStart w:id="57" w:name="_EN-US_TOPIC_0000002042890873-chtext"/>
      <w:bookmarkStart w:id="58" w:name="_Toc256000019"/>
      <w:r>
        <w:t>Analysis and Solutions for Vulnerabilities Detected by Third-Party Software</w:t>
      </w:r>
      <w:bookmarkEnd w:id="58"/>
      <w:bookmarkEnd w:id="57"/>
    </w:p>
    <w:p>
      <w:r>
        <w:t>The product was scanned by AWVS, GSM, Nexpose, and NSFOCUS Remote Security Assessment System (RSAS), and no risky vulnerabilities were detected. The following provides the analysis for the false reports.</w:t>
      </w:r>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926"/>
        <w:gridCol w:w="3566"/>
        <w:gridCol w:w="1446"/>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Name</w:t>
            </w:r>
          </w:p>
        </w:tc>
        <w:tc>
          <w:tcPr>
            <w:tcW w:w="2246" w:type="pct"/>
            <w:tcBorders>
              <w:top w:val="single" w:sz="6" w:space="0" w:color="000000"/>
              <w:bottom w:val="single" w:sz="6" w:space="0" w:color="000000"/>
              <w:right w:val="single" w:sz="6" w:space="0" w:color="000000"/>
            </w:tcBorders>
          </w:tcPr>
          <w:p>
            <w:pPr>
              <w:pStyle w:val="TableText"/>
            </w:pPr>
            <w:r>
              <w:t>Analysis Result</w:t>
            </w:r>
          </w:p>
        </w:tc>
        <w:tc>
          <w:tcPr>
            <w:tcW w:w="911" w:type="pct"/>
            <w:tcBorders>
              <w:top w:val="single" w:sz="6" w:space="0" w:color="000000"/>
              <w:bottom w:val="single" w:sz="6" w:space="0" w:color="000000"/>
            </w:tcBorders>
          </w:tcPr>
          <w:p>
            <w:pPr>
              <w:pStyle w:val="TableText"/>
            </w:pPr>
            <w:r>
              <w:t>CVE</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remote </w:t>
            </w:r>
            <w:r>
              <w:rPr>
                <w:b/>
              </w:rPr>
              <w:t>rpc.statd</w:t>
            </w:r>
            <w:r>
              <w:t xml:space="preserve"> service is running.</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The </w:t>
            </w:r>
            <w:r>
              <w:rPr>
                <w:b/>
              </w:rPr>
              <w:t>rpc.statd</w:t>
            </w:r>
            <w:r>
              <w:t xml:space="preserve"> service is running on port 2051. The plug-in only checks whether the service or corresponding port is enabled.</w:t>
            </w:r>
          </w:p>
        </w:tc>
        <w:tc>
          <w:tcPr>
            <w:tcW w:w="911" w:type="pct"/>
            <w:tcBorders>
              <w:top w:val="single" w:sz="6" w:space="0" w:color="000000"/>
              <w:bottom w:val="single" w:sz="6" w:space="0" w:color="000000"/>
            </w:tcBorders>
          </w:tcPr>
          <w:p>
            <w:pPr>
              <w:pStyle w:val="TableText"/>
            </w:pPr>
            <w:r>
              <w:t>CVE-1999-0018</w:t>
            </w:r>
          </w:p>
          <w:p>
            <w:pPr>
              <w:pStyle w:val="TableText"/>
            </w:pPr>
            <w:r>
              <w:t>CVE-1999-0019</w:t>
            </w:r>
          </w:p>
          <w:p>
            <w:pPr>
              <w:pStyle w:val="TableText"/>
            </w:pPr>
            <w:r>
              <w:t>CVE-1999-0493</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w:t>
            </w:r>
            <w:r>
              <w:rPr>
                <w:b/>
              </w:rPr>
              <w:t>showmount -e</w:t>
            </w:r>
            <w:r>
              <w:t xml:space="preserve"> command executed on the target host causes information leakage.</w:t>
            </w:r>
          </w:p>
        </w:tc>
        <w:tc>
          <w:tcPr>
            <w:tcW w:w="2246" w:type="pct"/>
            <w:tcBorders>
              <w:top w:val="single" w:sz="6" w:space="0" w:color="000000"/>
              <w:bottom w:val="single" w:sz="6" w:space="0" w:color="000000"/>
              <w:right w:val="single" w:sz="6" w:space="0" w:color="000000"/>
            </w:tcBorders>
          </w:tcPr>
          <w:p>
            <w:pPr>
              <w:pStyle w:val="TableText"/>
            </w:pPr>
            <w:r>
              <w:t xml:space="preserve">This vulnerability has been fixed and there is little impact. Run the </w:t>
            </w:r>
            <w:r>
              <w:rPr>
                <w:b/>
              </w:rPr>
              <w:t>change nfs nfs_cfg showmount_switch=false</w:t>
            </w:r>
            <w:r>
              <w:t xml:space="preserve"> command to disable the output of the </w:t>
            </w:r>
            <w:r>
              <w:rPr>
                <w:b/>
              </w:rPr>
              <w:t>showmount -e</w:t>
            </w:r>
            <w:r>
              <w:t xml:space="preserve"> command. Customers can customize the NFS service to restrict access from IP addresses and users.</w:t>
            </w:r>
          </w:p>
        </w:tc>
        <w:tc>
          <w:tcPr>
            <w:tcW w:w="911" w:type="pct"/>
            <w:tcBorders>
              <w:top w:val="single" w:sz="6" w:space="0" w:color="000000"/>
              <w:bottom w:val="single" w:sz="6" w:space="0" w:color="000000"/>
            </w:tcBorders>
          </w:tcPr>
          <w:p>
            <w:pPr>
              <w:pStyle w:val="TableText"/>
            </w:pPr>
            <w:r>
              <w:t>CVE-1999-0554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Remote RPCBIND/PORTMAP is running.</w:t>
            </w:r>
          </w:p>
        </w:tc>
        <w:tc>
          <w:tcPr>
            <w:tcW w:w="2246" w:type="pct"/>
            <w:tcBorders>
              <w:top w:val="single" w:sz="6" w:space="0" w:color="000000"/>
              <w:bottom w:val="single" w:sz="6" w:space="0" w:color="000000"/>
              <w:right w:val="single" w:sz="6" w:space="0" w:color="000000"/>
            </w:tcBorders>
          </w:tcPr>
          <w:p>
            <w:pPr>
              <w:pStyle w:val="TableText"/>
            </w:pPr>
            <w:r>
              <w:t>The score provided by the NVD's official website is 0, which means it is not a vulnerability and there is no security risks. The RPC port mapper service is an insecure protocol oriented to the Internet system and should be used only on trusted network segments. Otherwise, the service is disabled.</w:t>
            </w:r>
          </w:p>
          <w:p>
            <w:pPr>
              <w:pStyle w:val="TableText"/>
            </w:pPr>
            <w:r>
              <w:t>Hardening measure: Forbid access to the RPC port of the internal network on the firewall.</w:t>
            </w:r>
          </w:p>
        </w:tc>
        <w:tc>
          <w:tcPr>
            <w:tcW w:w="911" w:type="pct"/>
            <w:tcBorders>
              <w:top w:val="single" w:sz="6" w:space="0" w:color="000000"/>
              <w:bottom w:val="single" w:sz="6" w:space="0" w:color="000000"/>
            </w:tcBorders>
          </w:tcPr>
          <w:p>
            <w:pPr>
              <w:pStyle w:val="TableText"/>
            </w:pPr>
            <w:r>
              <w:t>CVE-1999-0632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Cacheable SSL found</w:t>
            </w:r>
          </w:p>
        </w:tc>
        <w:tc>
          <w:tcPr>
            <w:tcW w:w="2246" w:type="pct"/>
            <w:tcBorders>
              <w:top w:val="single" w:sz="6" w:space="0" w:color="000000"/>
              <w:bottom w:val="single" w:sz="6" w:space="0" w:color="000000"/>
              <w:right w:val="single" w:sz="6" w:space="0" w:color="000000"/>
            </w:tcBorders>
          </w:tcPr>
          <w:p>
            <w:pPr>
              <w:pStyle w:val="TableText"/>
            </w:pPr>
            <w:r>
              <w:t>This is not an issue. Sensitive information is not included. There is no risk.</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 xml:space="preserve">The </w:t>
            </w:r>
            <w:r>
              <w:rPr>
                <w:b/>
              </w:rPr>
              <w:t>rpcinfo -p</w:t>
            </w:r>
            <w:r>
              <w:t xml:space="preserve"> command executed on the target host causes information leakage.</w:t>
            </w:r>
          </w:p>
        </w:tc>
        <w:tc>
          <w:tcPr>
            <w:tcW w:w="2246" w:type="pct"/>
            <w:tcBorders>
              <w:top w:val="single" w:sz="6" w:space="0" w:color="000000"/>
              <w:bottom w:val="single" w:sz="6" w:space="0" w:color="000000"/>
              <w:right w:val="single" w:sz="6" w:space="0" w:color="000000"/>
            </w:tcBorders>
          </w:tcPr>
          <w:p>
            <w:pPr>
              <w:pStyle w:val="TableText"/>
            </w:pPr>
            <w:r>
              <w:t xml:space="preserve">The NFS service is a value-added service. To use this feature, background services such as </w:t>
            </w:r>
            <w:r>
              <w:rPr>
                <w:b/>
              </w:rPr>
              <w:t>rpcbind</w:t>
            </w:r>
            <w:r>
              <w:t xml:space="preserve"> and </w:t>
            </w:r>
            <w:r>
              <w:rPr>
                <w:b/>
              </w:rPr>
              <w:t>portmap</w:t>
            </w:r>
            <w:r>
              <w:t xml:space="preserve"> must be enabled. The NFS service does not contain sensitive information and poses no security risks.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SMBv2 signing not required (cifs-smb2-signing-not-required)</w:t>
            </w:r>
          </w:p>
        </w:tc>
        <w:tc>
          <w:tcPr>
            <w:tcW w:w="2246" w:type="pct"/>
            <w:tcBorders>
              <w:top w:val="single" w:sz="6" w:space="0" w:color="000000"/>
              <w:bottom w:val="single" w:sz="6" w:space="0" w:color="000000"/>
              <w:right w:val="single" w:sz="6" w:space="0" w:color="000000"/>
            </w:tcBorders>
          </w:tcPr>
          <w:p>
            <w:pPr>
              <w:pStyle w:val="TableText"/>
            </w:pPr>
            <w:r>
              <w:t xml:space="preserve">The signature function is disabled by default. To enable the SMB signature function, run the </w:t>
            </w:r>
            <w:r>
              <w:rPr>
                <w:b/>
              </w:rPr>
              <w:t>change service cifs signing_enabled=yes</w:t>
            </w:r>
            <w:r>
              <w:t xml:space="preserve"> command in developer mode.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DNS traffic amplification (DNS amplification)</w:t>
            </w:r>
          </w:p>
        </w:tc>
        <w:tc>
          <w:tcPr>
            <w:tcW w:w="2246" w:type="pct"/>
            <w:tcBorders>
              <w:top w:val="single" w:sz="6" w:space="0" w:color="000000"/>
              <w:bottom w:val="single" w:sz="6" w:space="0" w:color="000000"/>
              <w:right w:val="single" w:sz="6" w:space="0" w:color="000000"/>
            </w:tcBorders>
          </w:tcPr>
          <w:p>
            <w:pPr>
              <w:pStyle w:val="TableText"/>
            </w:pPr>
            <w:r>
              <w:t>The built-in DNS service implements load balancing for trusted hosts.</w:t>
            </w:r>
          </w:p>
          <w:p>
            <w:pPr>
              <w:pStyle w:val="TableText"/>
            </w:pPr>
            <w:r>
              <w:t>Hardening measure: It is recommended that the firewall allow the access to the DNS service only from trusted hosts.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Everyone can read the CIFS share (cifs-share-everyone-readable).</w:t>
            </w:r>
          </w:p>
        </w:tc>
        <w:tc>
          <w:tcPr>
            <w:tcW w:w="2246" w:type="pct"/>
            <w:tcBorders>
              <w:top w:val="single" w:sz="6" w:space="0" w:color="000000"/>
              <w:bottom w:val="single" w:sz="6" w:space="0" w:color="000000"/>
              <w:right w:val="single" w:sz="6" w:space="0" w:color="000000"/>
            </w:tcBorders>
          </w:tcPr>
          <w:p>
            <w:pPr>
              <w:pStyle w:val="TableText"/>
            </w:pPr>
            <w:r>
              <w:t>This issue exists because the CIFS service is configured to be readable by everyone. The administrator must specify the users who can access the CIFS share. For details, see the specific basic storage service configuration guide (for file).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Exported volumes can be mounted publicly (nfs-mountd-0002)./The NFS share is globally readable.</w:t>
            </w:r>
          </w:p>
        </w:tc>
        <w:tc>
          <w:tcPr>
            <w:tcW w:w="2246" w:type="pct"/>
            <w:tcBorders>
              <w:top w:val="single" w:sz="6" w:space="0" w:color="000000"/>
              <w:bottom w:val="single" w:sz="6" w:space="0" w:color="000000"/>
              <w:right w:val="single" w:sz="6" w:space="0" w:color="000000"/>
            </w:tcBorders>
          </w:tcPr>
          <w:p>
            <w:pPr>
              <w:pStyle w:val="TableText"/>
            </w:pPr>
            <w:r>
              <w:t xml:space="preserve">When NFS share permissions are configured, </w:t>
            </w:r>
            <w:r>
              <w:rPr>
                <w:b/>
              </w:rPr>
              <w:t>Clients</w:t>
            </w:r>
            <w:r>
              <w:t xml:space="preserve"> are set to </w:t>
            </w:r>
            <w:r>
              <w:rPr>
                <w:b/>
              </w:rPr>
              <w:t>*</w:t>
            </w:r>
            <w:r>
              <w:t>. As a result, the share is accessible to all clients. Users can customize the IP addresses that are allowed to access the share to avoid this issue.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SSH server supports weak key exchange algorithms (ssh-weak-kex-algorithms)</w:t>
            </w:r>
          </w:p>
        </w:tc>
        <w:tc>
          <w:tcPr>
            <w:tcW w:w="2246" w:type="pct"/>
            <w:tcBorders>
              <w:top w:val="single" w:sz="6" w:space="0" w:color="000000"/>
              <w:bottom w:val="single" w:sz="6" w:space="0" w:color="000000"/>
              <w:right w:val="single" w:sz="6" w:space="0" w:color="000000"/>
            </w:tcBorders>
          </w:tcPr>
          <w:p>
            <w:pPr>
              <w:pStyle w:val="TableText"/>
            </w:pPr>
            <w:r>
              <w:t xml:space="preserve">The </w:t>
            </w:r>
            <w:r>
              <w:rPr>
                <w:b/>
              </w:rPr>
              <w:t>diffie-hellman-group-exchange-sha1</w:t>
            </w:r>
            <w:r>
              <w:t xml:space="preserve"> algorithm is disabled by default. To ensure software compatibility, you can use the </w:t>
            </w:r>
            <w:r>
              <w:rPr>
                <w:b/>
              </w:rPr>
              <w:t>om_chgsshalglevel.sh</w:t>
            </w:r>
            <w:r>
              <w:t xml:space="preserve"> script in the minisystem to change the security level of the SSH cipher suite.</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Sensitive RPC 'rquotad' service is enabled (rpc-sensitive-rquotad-svc).</w:t>
            </w:r>
          </w:p>
        </w:tc>
        <w:tc>
          <w:tcPr>
            <w:tcW w:w="2246" w:type="pct"/>
            <w:tcBorders>
              <w:top w:val="single" w:sz="6" w:space="0" w:color="000000"/>
              <w:bottom w:val="single" w:sz="6" w:space="0" w:color="000000"/>
              <w:right w:val="single" w:sz="6" w:space="0" w:color="000000"/>
            </w:tcBorders>
          </w:tcPr>
          <w:p>
            <w:pPr>
              <w:pStyle w:val="TableText"/>
            </w:pPr>
            <w:r>
              <w:t>The NFS protocol of the product provides the rqueta function. This service can be disabled by running commands. Note: For details about the commands, see the command manual of the product.</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SSL encryption algorithm used to encrypt the target host communication is detected.</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The product supports the TLS1.2/1.3 strong encryption algorithm suite. For details about the encryption algorithm suite, see the </w:t>
            </w:r>
            <w:r>
              <w:rPr>
                <w:i/>
              </w:rPr>
              <w:t>Security Configuration Guide</w:t>
            </w:r>
            <w:r>
              <w:t>.</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remote HSTS service is running.</w:t>
            </w:r>
          </w:p>
        </w:tc>
        <w:tc>
          <w:tcPr>
            <w:tcW w:w="2246" w:type="pct"/>
            <w:tcBorders>
              <w:top w:val="single" w:sz="6" w:space="0" w:color="000000"/>
              <w:bottom w:val="single" w:sz="6" w:space="0" w:color="000000"/>
              <w:right w:val="single" w:sz="6" w:space="0" w:color="000000"/>
            </w:tcBorders>
          </w:tcPr>
          <w:p>
            <w:pPr>
              <w:pStyle w:val="TableText"/>
            </w:pPr>
            <w:r>
              <w:t>This is not an issue. By default, HTTPS connections are supported.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Detection of Linux/UNIX system information</w:t>
            </w:r>
          </w:p>
        </w:tc>
        <w:tc>
          <w:tcPr>
            <w:tcW w:w="2246" w:type="pct"/>
            <w:tcBorders>
              <w:top w:val="single" w:sz="6" w:space="0" w:color="000000"/>
              <w:bottom w:val="single" w:sz="6" w:space="0" w:color="000000"/>
              <w:right w:val="single" w:sz="6" w:space="0" w:color="000000"/>
            </w:tcBorders>
          </w:tcPr>
          <w:p>
            <w:pPr>
              <w:pStyle w:val="TableText"/>
            </w:pPr>
            <w:r>
              <w:t>This is not an issue and does not expose sensitive OS information.</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Discovery of algorithms supported by the SSH server</w:t>
            </w:r>
          </w:p>
        </w:tc>
        <w:tc>
          <w:tcPr>
            <w:tcW w:w="2246" w:type="pct"/>
            <w:tcBorders>
              <w:top w:val="single" w:sz="6" w:space="0" w:color="000000"/>
              <w:bottom w:val="single" w:sz="6" w:space="0" w:color="000000"/>
              <w:right w:val="single" w:sz="6" w:space="0" w:color="000000"/>
            </w:tcBorders>
          </w:tcPr>
          <w:p>
            <w:pPr>
              <w:pStyle w:val="TableText"/>
            </w:pPr>
            <w:r>
              <w:t>This is not an issue. The SSH service needs to negotiate algorithms with different clients, and the algorithms configured in the system are secure encryption algorithms commonly used in the industry.</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Accessibility of SSH version information</w:t>
            </w:r>
          </w:p>
        </w:tc>
        <w:tc>
          <w:tcPr>
            <w:tcW w:w="2246" w:type="pct"/>
            <w:tcBorders>
              <w:top w:val="single" w:sz="6" w:space="0" w:color="000000"/>
              <w:bottom w:val="single" w:sz="6" w:space="0" w:color="000000"/>
              <w:right w:val="single" w:sz="6" w:space="0" w:color="000000"/>
            </w:tcBorders>
          </w:tcPr>
          <w:p>
            <w:pPr>
              <w:pStyle w:val="TableText"/>
            </w:pPr>
            <w:r>
              <w:t>This is not an issue. It is only a description of information acquisition.</w:t>
            </w:r>
          </w:p>
        </w:tc>
        <w:tc>
          <w:tcPr>
            <w:tcW w:w="911" w:type="pct"/>
            <w:tcBorders>
              <w:top w:val="single" w:sz="6" w:space="0" w:color="000000"/>
              <w:bottom w:val="single" w:sz="6" w:space="0" w:color="000000"/>
            </w:tcBorders>
          </w:tcPr>
          <w:p>
            <w:pPr>
              <w:pStyle w:val="TableText"/>
            </w:pPr>
            <w:r>
              <w:t>CVE-1999-0634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It is detected that the target SSL certificate expires. [Principle scanning]</w:t>
            </w:r>
          </w:p>
        </w:tc>
        <w:tc>
          <w:tcPr>
            <w:tcW w:w="2246" w:type="pct"/>
            <w:tcBorders>
              <w:top w:val="single" w:sz="6" w:space="0" w:color="000000"/>
              <w:bottom w:val="single" w:sz="6" w:space="0" w:color="000000"/>
              <w:right w:val="single" w:sz="6" w:space="0" w:color="000000"/>
            </w:tcBorders>
          </w:tcPr>
          <w:p>
            <w:pPr>
              <w:pStyle w:val="TableText"/>
            </w:pPr>
            <w:r>
              <w:t>This is not an issue. It is used only for information collection and does not need to be fixed. You are advised to check whether the certificate expiration time meets requirements.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The SSL encryption algorithm used to encrypt the target host communication is detected. [Principle scanning]</w:t>
            </w:r>
          </w:p>
        </w:tc>
        <w:tc>
          <w:tcPr>
            <w:tcW w:w="2246" w:type="pct"/>
            <w:tcBorders>
              <w:top w:val="single" w:sz="6" w:space="0" w:color="000000"/>
              <w:bottom w:val="single" w:sz="6" w:space="0" w:color="000000"/>
              <w:right w:val="single" w:sz="6" w:space="0" w:color="000000"/>
            </w:tcBorders>
          </w:tcPr>
          <w:p>
            <w:pPr>
              <w:pStyle w:val="TableText"/>
            </w:pPr>
            <w:r>
              <w:t>This is not an issue. It is only a description of information acquisition.</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Traceroute detection is allowed (TCP timestamps information disclosure).</w:t>
            </w:r>
          </w:p>
        </w:tc>
        <w:tc>
          <w:tcPr>
            <w:tcW w:w="2246" w:type="pct"/>
            <w:tcBorders>
              <w:top w:val="single" w:sz="6" w:space="0" w:color="000000"/>
              <w:bottom w:val="single" w:sz="6" w:space="0" w:color="000000"/>
              <w:right w:val="single" w:sz="6" w:space="0" w:color="000000"/>
            </w:tcBorders>
          </w:tcPr>
          <w:p>
            <w:pPr>
              <w:pStyle w:val="TableText"/>
            </w:pPr>
            <w:r>
              <w:t>TCP timestamp option calculates RTT precisely for better performance and ensures TCP reliability in extreme conditions. For better performance, this option is enabled by default in general Linux releases. If this function is disabled, the TCP time-wait sockets quick reclaiming function (</w:t>
            </w:r>
            <w:r>
              <w:rPr>
                <w:b/>
              </w:rPr>
              <w:t>net.ipv4.tcp_tw_recycle</w:t>
            </w:r>
            <w:r>
              <w:t xml:space="preserve">) is invalid. This is a low-risk vulnerability. Attackers may use </w:t>
            </w:r>
            <w:r>
              <w:rPr>
                <w:b/>
              </w:rPr>
              <w:t>tcp.timestamps</w:t>
            </w:r>
            <w:r>
              <w:t xml:space="preserve"> to obtain system running time for further attack but they cannot obtain critical information. Determine whether to disable this option based on actual scenarios. It is advised to disable this option only in the NAT scenario.</w:t>
            </w:r>
          </w:p>
          <w:p>
            <w:pPr>
              <w:pStyle w:val="TableText"/>
            </w:pPr>
            <w:r>
              <w:t xml:space="preserve">To disable this option, run the </w:t>
            </w:r>
            <w:r>
              <w:rPr>
                <w:b/>
              </w:rPr>
              <w:t>tcp_timestamp_switch.sh off</w:t>
            </w:r>
            <w:r>
              <w:t xml:space="preserve"> command in the minisystem.</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No authentication for single user mode (lilo-linux-single-user-mode)</w:t>
            </w:r>
          </w:p>
        </w:tc>
        <w:tc>
          <w:tcPr>
            <w:tcW w:w="2246" w:type="pct"/>
            <w:tcBorders>
              <w:top w:val="single" w:sz="6" w:space="0" w:color="000000"/>
              <w:bottom w:val="single" w:sz="6" w:space="0" w:color="000000"/>
              <w:right w:val="single" w:sz="6" w:space="0" w:color="000000"/>
            </w:tcBorders>
          </w:tcPr>
          <w:p>
            <w:pPr>
              <w:pStyle w:val="TableText"/>
            </w:pPr>
            <w:r>
              <w:t xml:space="preserve">This is not an issue. </w:t>
            </w:r>
            <w:r>
              <w:rPr>
                <w:b/>
              </w:rPr>
              <w:t>SINGLE=/sbin/sulogin</w:t>
            </w:r>
            <w:r>
              <w:t xml:space="preserve"> has been configured in the </w:t>
            </w:r>
            <w:r>
              <w:rPr>
                <w:b/>
              </w:rPr>
              <w:t>/etc/sysconfig/init</w:t>
            </w:r>
            <w:r>
              <w:t xml:space="preserve"> file, and the OS has been hardened. This item is falsely reported.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User home directory mode unsafe (unix-user-home-dir-mode)</w:t>
            </w:r>
          </w:p>
        </w:tc>
        <w:tc>
          <w:tcPr>
            <w:tcW w:w="2246" w:type="pct"/>
            <w:tcBorders>
              <w:top w:val="single" w:sz="6" w:space="0" w:color="000000"/>
              <w:bottom w:val="single" w:sz="6" w:space="0" w:color="000000"/>
              <w:right w:val="single" w:sz="6" w:space="0" w:color="000000"/>
            </w:tcBorders>
          </w:tcPr>
          <w:p>
            <w:pPr>
              <w:pStyle w:val="TableText"/>
            </w:pPr>
            <w:r>
              <w:t>This is not an issue. The home of the system user has been hardened. This item is falsely reported.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RPM signature check</w:t>
            </w:r>
          </w:p>
        </w:tc>
        <w:tc>
          <w:tcPr>
            <w:tcW w:w="2246" w:type="pct"/>
            <w:tcBorders>
              <w:top w:val="single" w:sz="6" w:space="0" w:color="000000"/>
              <w:bottom w:val="single" w:sz="6" w:space="0" w:color="000000"/>
              <w:right w:val="single" w:sz="6" w:space="0" w:color="000000"/>
            </w:tcBorders>
          </w:tcPr>
          <w:p>
            <w:pPr>
              <w:pStyle w:val="TableText"/>
            </w:pPr>
            <w:r>
              <w:t>This is not an issue. The product software package has been signed.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9.3p2 RCE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CVE-2023-38408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1.0.2 &lt; 1.0.2zg, 1.1.1 &lt; 1.1.1t, 3.0 &lt; 3.0.8 multiple vulnerabilities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CVE-2022-4304, CVE-2023-0215, CVE-2023-0286</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1.1.1 &lt; 1.1.1t, 3.0 &lt; 3.0.8 DoS vulnerability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CVE-2022-4450</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end of life (EOL) detection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Multiple OpenSSL vulnerabilities (20230322, 20230328, 20230530)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CVE-2023-0464, CVE-2023-0465, CVE-2023-0466, CVE-2023-2650</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c_rehash script allows command injection (CVE-2022-1292)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CVE-2022-1292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Infinite loop in BN_mod_sqrt() reachable when parsing certificates (CVE-2022-0778)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CVE-2022-0778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The c_rehash script allows command injection (CVE-2022-2068)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CVE-2022-2068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3.10.6 information disclosure vulnerability (bpo-43223)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CVE-2021-28861</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3.7.17, 3.8.x &lt; 3.8.17, 3.9.x &lt; 3.9.17, 3.10.x &lt; 3.10.12, 3.11.x &lt; 3.11.4 RCE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CVE-2023-24329</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3.10.x buffer overflow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CVE-2022-37454</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3.12.0 'RecursionError' vulnerability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CVE-2023-36632</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DoS vulnerability (Oct. 2022)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CVE-2022-45061</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privilege escalation vulnerability (Sep. 2022)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CVE-2022-42919</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shell command injection vulnerability (bpo-24778)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CVE-2015-20107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SQLite 1.0.12 &lt; 3.39.2 improper input validation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CVE-2022-35737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SQLite 3.37.0 - 3.40.0 information disclosure vulnerability</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CVE-2022-46908</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NTP &lt;= 4.2.8p15 multiple vulnerabilities</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CVE-2023-26551, CVE-2023-26552, CVE-2023-26553, CVE-2023-26554, CVE-2023-26555</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8.7 - 9.1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9.1 multiple vulnerabilities</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9.2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OpenBSD OpenSSH &lt; 9.3 unspecified vulnerability</w:t>
            </w:r>
          </w:p>
        </w:tc>
        <w:tc>
          <w:tcPr>
            <w:tcW w:w="2246" w:type="pct"/>
            <w:tcBorders>
              <w:top w:val="single" w:sz="6" w:space="0" w:color="000000"/>
              <w:bottom w:val="single" w:sz="6" w:space="0" w:color="000000"/>
              <w:right w:val="single" w:sz="6" w:space="0" w:color="000000"/>
            </w:tcBorders>
          </w:tcPr>
          <w:p>
            <w:pPr>
              <w:pStyle w:val="TableText"/>
            </w:pPr>
            <w:r>
              <w:t>This is not an issue. Hardening measure: It is recommended that an IP address whitelist be configured on the network firewall of the customer to restrict the access from the SSH client to port 22 of the management systems on the storage nodes.</w:t>
            </w:r>
          </w:p>
        </w:tc>
        <w:tc>
          <w:tcPr>
            <w:tcW w:w="911" w:type="pct"/>
            <w:tcBorders>
              <w:top w:val="single" w:sz="6" w:space="0" w:color="000000"/>
              <w:bottom w:val="single" w:sz="6" w:space="0" w:color="000000"/>
            </w:tcBorders>
          </w:tcPr>
          <w:p>
            <w:pPr>
              <w:pStyle w:val="TableText"/>
            </w:pPr>
            <w:r>
              <w:t>N/A</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DoS vulnerability (20230719)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CVE-2023-3446</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DoS vulnerability (20230731)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CVE-2023-3817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AES OCB fails to encrypt some bytes (CVE-2022-2097) -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CVE-2022-2097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Python &lt; 3.8.18, 3.9.x &lt; 3.9.18, 3.10.x &lt; 3.10.13, 3.11.x &lt; 3.11.5 security bypass vulnerability - Linux</w:t>
            </w:r>
          </w:p>
        </w:tc>
        <w:tc>
          <w:tcPr>
            <w:tcW w:w="2246" w:type="pct"/>
            <w:tcBorders>
              <w:top w:val="single" w:sz="6" w:space="0" w:color="000000"/>
              <w:bottom w:val="single" w:sz="6" w:space="0" w:color="000000"/>
              <w:right w:val="single" w:sz="6" w:space="0" w:color="000000"/>
            </w:tcBorders>
          </w:tcPr>
          <w:p>
            <w:pPr>
              <w:pStyle w:val="TableText"/>
            </w:pPr>
            <w:r>
              <w:t>Fixed</w:t>
            </w:r>
          </w:p>
        </w:tc>
        <w:tc>
          <w:tcPr>
            <w:tcW w:w="911" w:type="pct"/>
            <w:tcBorders>
              <w:top w:val="single" w:sz="6" w:space="0" w:color="000000"/>
              <w:bottom w:val="single" w:sz="6" w:space="0" w:color="000000"/>
            </w:tcBorders>
          </w:tcPr>
          <w:p>
            <w:pPr>
              <w:pStyle w:val="TableText"/>
            </w:pPr>
            <w:r>
              <w:t>CVE-2023-40217</w:t>
            </w:r>
          </w:p>
        </w:tc>
      </w:tr>
      <w:tr>
        <w:tblPrEx>
          <w:tblW w:w="7938" w:type="dxa"/>
          <w:tblInd w:w="1814" w:type="dxa"/>
          <w:tblLayout w:type="fixed"/>
          <w:tblLook w:val="01E0"/>
        </w:tblPrEx>
        <w:trPr>
          <w:cantSplit w:val="0"/>
        </w:trPr>
        <w:tc>
          <w:tcPr>
            <w:tcW w:w="1843" w:type="pct"/>
            <w:tcBorders>
              <w:top w:val="single" w:sz="6" w:space="0" w:color="000000"/>
              <w:bottom w:val="single" w:sz="6" w:space="0" w:color="000000"/>
              <w:right w:val="single" w:sz="6" w:space="0" w:color="000000"/>
            </w:tcBorders>
          </w:tcPr>
          <w:p>
            <w:pPr>
              <w:pStyle w:val="TableText"/>
            </w:pPr>
            <w:r>
              <w:t>OpenSSL End of Life (EOL) Detection (Linux)</w:t>
            </w:r>
          </w:p>
        </w:tc>
        <w:tc>
          <w:tcPr>
            <w:tcW w:w="2246" w:type="pct"/>
            <w:tcBorders>
              <w:top w:val="single" w:sz="6" w:space="0" w:color="000000"/>
              <w:bottom w:val="single" w:sz="6" w:space="0" w:color="000000"/>
              <w:right w:val="single" w:sz="6" w:space="0" w:color="000000"/>
            </w:tcBorders>
          </w:tcPr>
          <w:p>
            <w:pPr>
              <w:pStyle w:val="TableText"/>
            </w:pPr>
            <w:r>
              <w:t>Not involved</w:t>
            </w:r>
          </w:p>
        </w:tc>
        <w:tc>
          <w:tcPr>
            <w:tcW w:w="911" w:type="pct"/>
            <w:tcBorders>
              <w:top w:val="single" w:sz="6" w:space="0" w:color="000000"/>
              <w:bottom w:val="single" w:sz="6" w:space="0" w:color="000000"/>
            </w:tcBorders>
          </w:tcPr>
          <w:p>
            <w:pPr>
              <w:pStyle w:val="TableText"/>
            </w:pPr>
            <w:r>
              <w:t>N/A</w:t>
            </w:r>
          </w:p>
        </w:tc>
      </w:tr>
    </w:tbl>
    <w:p>
      <w:pPr>
        <w:sectPr>
          <w:headerReference w:type="even" r:id="rId57"/>
          <w:headerReference w:type="default" r:id="rId58"/>
          <w:type w:val="nextPage"/>
          <w:pgSz w:w="11907" w:h="16840" w:code="9"/>
          <w:pgMar w:top="1701" w:right="1134" w:bottom="1701" w:left="1134" w:header="567" w:footer="567" w:gutter="0"/>
          <w:pgNumType w:fmt="decimal"/>
          <w:cols w:space="425"/>
          <w:docGrid w:linePitch="312"/>
        </w:sectPr>
      </w:pPr>
    </w:p>
    <w:p>
      <w:pPr>
        <w:pStyle w:val="Appendixheading1"/>
      </w:pPr>
      <w:bookmarkStart w:id="59" w:name="_EN-US_TOPIC_0000002006851902"/>
      <w:bookmarkEnd w:id="59"/>
      <w:bookmarkStart w:id="60" w:name="_EN-US_TOPIC_0000002006851902-chtext"/>
      <w:bookmarkStart w:id="61" w:name="_Toc256000020"/>
      <w:r>
        <w:t>Acronyms and Abbreviations</w:t>
      </w:r>
      <w:bookmarkEnd w:id="61"/>
      <w:bookmarkEnd w:id="60"/>
    </w:p>
    <w:tbl>
      <w:tblPr>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
      <w:tblGrid>
        <w:gridCol w:w="2134"/>
        <w:gridCol w:w="5804"/>
      </w:tblGrid>
      <w:tr>
        <w:tblPrEx>
          <w:tblW w:w="7938" w:type="dxa"/>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B</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BBU</w:t>
            </w:r>
          </w:p>
        </w:tc>
        <w:tc>
          <w:tcPr>
            <w:tcW w:w="3656" w:type="pct"/>
            <w:tcBorders>
              <w:top w:val="single" w:sz="6" w:space="0" w:color="000000"/>
              <w:bottom w:val="single" w:sz="6" w:space="0" w:color="000000"/>
            </w:tcBorders>
          </w:tcPr>
          <w:p>
            <w:pPr>
              <w:pStyle w:val="TableText"/>
            </w:pPr>
            <w:r>
              <w:t>Backup Battery Unit</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BIOS</w:t>
            </w:r>
          </w:p>
        </w:tc>
        <w:tc>
          <w:tcPr>
            <w:tcW w:w="3656" w:type="pct"/>
            <w:tcBorders>
              <w:top w:val="single" w:sz="6" w:space="0" w:color="000000"/>
              <w:bottom w:val="single" w:sz="6" w:space="0" w:color="000000"/>
            </w:tcBorders>
          </w:tcPr>
          <w:p>
            <w:pPr>
              <w:pStyle w:val="TableText"/>
            </w:pPr>
            <w:r>
              <w:t>Basic Input/Output System</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BMC</w:t>
            </w:r>
          </w:p>
        </w:tc>
        <w:tc>
          <w:tcPr>
            <w:tcW w:w="3656" w:type="pct"/>
            <w:tcBorders>
              <w:top w:val="single" w:sz="6" w:space="0" w:color="000000"/>
              <w:bottom w:val="single" w:sz="6" w:space="0" w:color="000000"/>
            </w:tcBorders>
          </w:tcPr>
          <w:p>
            <w:pPr>
              <w:pStyle w:val="TableText"/>
            </w:pPr>
            <w:r>
              <w:t>Baseboard Management Controller</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C</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CLI</w:t>
            </w:r>
          </w:p>
        </w:tc>
        <w:tc>
          <w:tcPr>
            <w:tcW w:w="3656" w:type="pct"/>
            <w:tcBorders>
              <w:top w:val="single" w:sz="6" w:space="0" w:color="000000"/>
              <w:bottom w:val="single" w:sz="6" w:space="0" w:color="000000"/>
            </w:tcBorders>
          </w:tcPr>
          <w:p>
            <w:pPr>
              <w:pStyle w:val="TableText"/>
            </w:pPr>
            <w:r>
              <w:t>Command-Line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F</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FC</w:t>
            </w:r>
          </w:p>
        </w:tc>
        <w:tc>
          <w:tcPr>
            <w:tcW w:w="3656" w:type="pct"/>
            <w:tcBorders>
              <w:top w:val="single" w:sz="6" w:space="0" w:color="000000"/>
              <w:bottom w:val="single" w:sz="6" w:space="0" w:color="000000"/>
            </w:tcBorders>
          </w:tcPr>
          <w:p>
            <w:pPr>
              <w:pStyle w:val="TableText"/>
            </w:pPr>
            <w:r>
              <w:t>Fibre Channel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G</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GUI</w:t>
            </w:r>
          </w:p>
        </w:tc>
        <w:tc>
          <w:tcPr>
            <w:tcW w:w="3656" w:type="pct"/>
            <w:tcBorders>
              <w:top w:val="single" w:sz="6" w:space="0" w:color="000000"/>
              <w:bottom w:val="single" w:sz="6" w:space="0" w:color="000000"/>
            </w:tcBorders>
          </w:tcPr>
          <w:p>
            <w:pPr>
              <w:pStyle w:val="TableText"/>
            </w:pPr>
            <w:r>
              <w:t>Graphical User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H</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HSSD</w:t>
            </w:r>
          </w:p>
        </w:tc>
        <w:tc>
          <w:tcPr>
            <w:tcW w:w="3656" w:type="pct"/>
            <w:tcBorders>
              <w:top w:val="single" w:sz="6" w:space="0" w:color="000000"/>
              <w:bottom w:val="single" w:sz="6" w:space="0" w:color="000000"/>
            </w:tcBorders>
          </w:tcPr>
          <w:p>
            <w:pPr>
              <w:pStyle w:val="TableText"/>
            </w:pPr>
            <w:r>
              <w:t>Huawei Solid-State Drive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I</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iSCSI</w:t>
            </w:r>
          </w:p>
        </w:tc>
        <w:tc>
          <w:tcPr>
            <w:tcW w:w="3656" w:type="pct"/>
            <w:tcBorders>
              <w:top w:val="single" w:sz="6" w:space="0" w:color="000000"/>
              <w:bottom w:val="single" w:sz="6" w:space="0" w:color="000000"/>
            </w:tcBorders>
          </w:tcPr>
          <w:p>
            <w:pPr>
              <w:pStyle w:val="TableText"/>
            </w:pPr>
            <w:r>
              <w:t>Internet Small Computer Systems Interface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ITOM</w:t>
            </w:r>
          </w:p>
        </w:tc>
        <w:tc>
          <w:tcPr>
            <w:tcW w:w="3656" w:type="pct"/>
            <w:tcBorders>
              <w:top w:val="single" w:sz="6" w:space="0" w:color="000000"/>
              <w:bottom w:val="single" w:sz="6" w:space="0" w:color="000000"/>
            </w:tcBorders>
          </w:tcPr>
          <w:p>
            <w:pPr>
              <w:pStyle w:val="TableText"/>
            </w:pPr>
            <w:r>
              <w:t>IT Operation Management</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L</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LUN</w:t>
            </w:r>
          </w:p>
        </w:tc>
        <w:tc>
          <w:tcPr>
            <w:tcW w:w="3656" w:type="pct"/>
            <w:tcBorders>
              <w:top w:val="single" w:sz="6" w:space="0" w:color="000000"/>
              <w:bottom w:val="single" w:sz="6" w:space="0" w:color="000000"/>
            </w:tcBorders>
          </w:tcPr>
          <w:p>
            <w:pPr>
              <w:pStyle w:val="TableText"/>
            </w:pPr>
            <w:r>
              <w:t>Logical Unit Number</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P</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PCIe</w:t>
            </w:r>
          </w:p>
        </w:tc>
        <w:tc>
          <w:tcPr>
            <w:tcW w:w="3656" w:type="pct"/>
            <w:tcBorders>
              <w:top w:val="single" w:sz="6" w:space="0" w:color="000000"/>
              <w:bottom w:val="single" w:sz="6" w:space="0" w:color="000000"/>
            </w:tcBorders>
          </w:tcPr>
          <w:p>
            <w:pPr>
              <w:pStyle w:val="TableText"/>
            </w:pPr>
            <w:r>
              <w:t>Peripheral Component Interconnect Express</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rPr>
                <w:b/>
              </w:rPr>
              <w:t>S</w:t>
            </w:r>
          </w:p>
        </w:tc>
        <w:tc>
          <w:tcPr>
            <w:tcW w:w="3656" w:type="pct"/>
            <w:tcBorders>
              <w:top w:val="single" w:sz="6" w:space="0" w:color="000000"/>
              <w:bottom w:val="single" w:sz="6" w:space="0" w:color="000000"/>
            </w:tcBorders>
          </w:tcPr>
          <w:p>
            <w:pPr>
              <w:pStyle w:val="TableText"/>
            </w:pP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SNMP</w:t>
            </w:r>
          </w:p>
        </w:tc>
        <w:tc>
          <w:tcPr>
            <w:tcW w:w="3656" w:type="pct"/>
            <w:tcBorders>
              <w:top w:val="single" w:sz="6" w:space="0" w:color="000000"/>
              <w:bottom w:val="single" w:sz="6" w:space="0" w:color="000000"/>
            </w:tcBorders>
          </w:tcPr>
          <w:p>
            <w:pPr>
              <w:pStyle w:val="TableText"/>
            </w:pPr>
            <w:r>
              <w:t>Simple Network Management Protocol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SSD</w:t>
            </w:r>
          </w:p>
        </w:tc>
        <w:tc>
          <w:tcPr>
            <w:tcW w:w="3656" w:type="pct"/>
            <w:tcBorders>
              <w:top w:val="single" w:sz="6" w:space="0" w:color="000000"/>
              <w:bottom w:val="single" w:sz="6" w:space="0" w:color="000000"/>
            </w:tcBorders>
          </w:tcPr>
          <w:p>
            <w:pPr>
              <w:pStyle w:val="TableText"/>
            </w:pPr>
            <w:r>
              <w:t>Solid-State Drive</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SSH</w:t>
            </w:r>
          </w:p>
        </w:tc>
        <w:tc>
          <w:tcPr>
            <w:tcW w:w="3656" w:type="pct"/>
            <w:tcBorders>
              <w:top w:val="single" w:sz="6" w:space="0" w:color="000000"/>
              <w:bottom w:val="single" w:sz="6" w:space="0" w:color="000000"/>
            </w:tcBorders>
          </w:tcPr>
          <w:p>
            <w:pPr>
              <w:pStyle w:val="TableText"/>
            </w:pPr>
            <w:r>
              <w:t>Secure Shell</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SAS</w:t>
            </w:r>
          </w:p>
        </w:tc>
        <w:tc>
          <w:tcPr>
            <w:tcW w:w="3656" w:type="pct"/>
            <w:tcBorders>
              <w:top w:val="single" w:sz="6" w:space="0" w:color="000000"/>
              <w:bottom w:val="single" w:sz="6" w:space="0" w:color="000000"/>
            </w:tcBorders>
          </w:tcPr>
          <w:p>
            <w:pPr>
              <w:pStyle w:val="TableText"/>
            </w:pPr>
            <w:r>
              <w:t>Serial Attached SCSI</w:t>
            </w:r>
          </w:p>
        </w:tc>
      </w:tr>
      <w:tr>
        <w:tblPrEx>
          <w:tblW w:w="7938" w:type="dxa"/>
          <w:tblInd w:w="1814" w:type="dxa"/>
          <w:tblLayout w:type="fixed"/>
          <w:tblLook w:val="01E0"/>
        </w:tblPrEx>
        <w:trPr>
          <w:cantSplit w:val="0"/>
        </w:trPr>
        <w:tc>
          <w:tcPr>
            <w:tcW w:w="1344" w:type="pct"/>
            <w:tcBorders>
              <w:top w:val="single" w:sz="6" w:space="0" w:color="000000"/>
              <w:bottom w:val="single" w:sz="6" w:space="0" w:color="000000"/>
              <w:right w:val="single" w:sz="6" w:space="0" w:color="000000"/>
            </w:tcBorders>
          </w:tcPr>
          <w:p>
            <w:pPr>
              <w:pStyle w:val="TableText"/>
            </w:pPr>
            <w:r>
              <w:t>SLO</w:t>
            </w:r>
          </w:p>
        </w:tc>
        <w:tc>
          <w:tcPr>
            <w:tcW w:w="3656" w:type="pct"/>
            <w:tcBorders>
              <w:top w:val="single" w:sz="6" w:space="0" w:color="000000"/>
              <w:bottom w:val="single" w:sz="6" w:space="0" w:color="000000"/>
            </w:tcBorders>
          </w:tcPr>
          <w:p>
            <w:pPr>
              <w:pStyle w:val="TableText"/>
            </w:pPr>
            <w:r>
              <w:t>Service Level Objective</w:t>
            </w:r>
          </w:p>
        </w:tc>
      </w:tr>
    </w:tbl>
    <w:p/>
    <w:sectPr>
      <w:headerReference w:type="even" r:id="rId59"/>
      <w:headerReference w:type="default" r:id="rId60"/>
      <w:type w:val="nextPage"/>
      <w:pgSz w:w="11907" w:h="16840" w:code="9"/>
      <w:pgMar w:top="1701" w:right="1134" w:bottom="1701" w:left="1134" w:header="567" w:footer="567" w:gutter="0"/>
      <w:pgNumType w:fmt="decimal"/>
      <w:cols w:space="425"/>
      <w:docGrid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
        <w:separator/>
      </w:r>
    </w:p>
    <w:p/>
    <w:p/>
    <w:p/>
    <w:p/>
  </w:endnote>
  <w:endnote w:type="continuationSeparator" w:id="1">
    <w:p>
      <w:r>
        <w:continuationSeparator/>
      </w:r>
    </w:p>
    <w:p/>
    <w:p/>
    <w:p/>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080E0000" w:usb2="00000010" w:usb3="00000000" w:csb0="00040001" w:csb1="00000000"/>
  </w:font>
  <w:font w:name="黑体">
    <w:altName w:val="SimHei"/>
    <w:panose1 w:val="02010600030101010101"/>
    <w:charset w:val="86"/>
    <w:family w:val="auto"/>
    <w:pitch w:val="variable"/>
    <w:sig w:usb0="00000001" w:usb1="080E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Book Antiqua">
    <w:panose1 w:val="02040602050305030304"/>
    <w:charset w:val="00"/>
    <w:family w:val="roman"/>
    <w:pitch w:val="variable"/>
    <w:sig w:usb0="00000287" w:usb1="00000000" w:usb2="00000000" w:usb3="00000000" w:csb0="0000009F" w:csb1="00000000"/>
  </w:font>
  <w:font w:name="@黑体">
    <w:panose1 w:val="02010600030101010101"/>
    <w:charset w:val="86"/>
    <w:family w:val="auto"/>
    <w:pitch w:val="variable"/>
    <w:sig w:usb0="00000001" w:usb1="080E0000" w:usb2="00000010" w:usb3="00000000" w:csb0="00040000" w:csb1="00000000"/>
  </w:font>
  <w:font w:name="@宋体">
    <w:panose1 w:val="02010600030101010101"/>
    <w:charset w:val="86"/>
    <w:family w:val="auto"/>
    <w:pitch w:val="variable"/>
    <w:sig w:usb0="00000003" w:usb1="080E0000" w:usb2="00000010"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noProof/>
            </w:rPr>
            <w:t>xi</w:t>
          </w:r>
          <w:r>
            <w:fldChar w:fldCharType="end"/>
          </w:r>
        </w:p>
      </w:tc>
    </w:tr>
  </w:tbl>
  <w:p>
    <w:pPr>
      <w:pStyle w:val="HeadingRight"/>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68"/>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vAlign w:val="top"/>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w:t>
          </w:r>
          <w:r>
            <w:t xml:space="preserve"> Co., Ltd.</w:t>
          </w:r>
          <w:r>
            <w:fldChar w:fldCharType="end"/>
          </w:r>
        </w:p>
      </w:tc>
      <w:tc>
        <w:tcPr>
          <w:tcW w:w="2912" w:type="dxa"/>
        </w:tcPr>
        <w:p>
          <w:pPr>
            <w:pStyle w:val="HeadingRight"/>
            <w:rPr>
              <w:rFonts w:hint="eastAsia"/>
            </w:rPr>
          </w:pPr>
          <w:r>
            <w:fldChar w:fldCharType="begin"/>
          </w:r>
          <w:r>
            <w:instrText xml:space="preserve"> PAGE </w:instrText>
          </w:r>
          <w:r>
            <w:fldChar w:fldCharType="separate"/>
          </w:r>
          <w:r>
            <w:rPr>
              <w:rFonts w:ascii="Times New Roman" w:eastAsia="宋体" w:cs="Times New Roman"/>
              <w:kern w:val="2"/>
              <w:sz w:val="20"/>
              <w:szCs w:val="20"/>
              <w:lang w:val="en-US" w:eastAsia="zh-CN" w:bidi="ar-SA"/>
            </w:rPr>
            <w:t>ii</w:t>
          </w:r>
          <w:r>
            <w:fldChar w:fldCharType="end"/>
          </w:r>
        </w:p>
      </w:tc>
    </w:tr>
  </w:tbl>
  <w:p>
    <w:pPr>
      <w:pStyle w:val="HeadingRight"/>
    </w:pP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iii</w:t>
          </w:r>
          <w:r>
            <w:fldChar w:fldCharType="end"/>
          </w:r>
        </w:p>
      </w:tc>
    </w:tr>
  </w:tbl>
  <w:p>
    <w:pPr>
      <w:pStyle w:val="HeadingRight"/>
      <w:rPr>
        <w:rFonts w:hint="eastAsia"/>
      </w:rP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noProof/>
            </w:rPr>
            <w:t>i</w:t>
          </w:r>
          <w:r>
            <w:fldChar w:fldCharType="end"/>
          </w:r>
        </w:p>
      </w:tc>
    </w:tr>
  </w:tbl>
  <w:p>
    <w:pPr>
      <w:pStyle w:val="HeadingRight"/>
      <w:rPr>
        <w:rFonts w:hint="eastAsia"/>
      </w:rPr>
    </w:pP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7"/>
      <w:gridCol w:w="3858"/>
      <w:gridCol w:w="2918"/>
    </w:tblGrid>
    <w:tr>
      <w:tblPrEx>
        <w:tblW w:w="0" w:type="auto"/>
        <w:tblInd w:w="108" w:type="dxa"/>
        <w:tblBorders>
          <w:top w:val="single" w:sz="4" w:space="0" w:color="auto"/>
        </w:tblBorders>
        <w:tblLayout w:type="fixed"/>
        <w:tblCellMar>
          <w:top w:w="0" w:type="dxa"/>
          <w:bottom w:w="0" w:type="dxa"/>
        </w:tblCellMar>
        <w:tblLook w:val="0000"/>
      </w:tblPrEx>
      <w:trPr>
        <w:trHeight w:val="483"/>
      </w:trPr>
      <w:tc>
        <w:tcPr>
          <w:tcW w:w="2917"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58"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8"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iv</w:t>
          </w:r>
          <w:r>
            <w:fldChar w:fldCharType="end"/>
          </w:r>
        </w:p>
      </w:tc>
    </w:tr>
  </w:tbl>
  <w:p>
    <w:pPr>
      <w:pStyle w:val="HeadingRight"/>
      <w:rPr>
        <w:rFonts w:hint="eastAsia"/>
      </w:rPr>
    </w:pP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3</w:t>
          </w:r>
          <w:r>
            <w:fldChar w:fldCharType="end"/>
          </w:r>
        </w:p>
      </w:tc>
    </w:tr>
  </w:tbl>
  <w:p>
    <w:pPr>
      <w:pStyle w:val="HeadingRight"/>
      <w:rPr>
        <w:rFonts w:hint="eastAsia"/>
      </w:rP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5</w:t>
          </w:r>
          <w:r>
            <w:fldChar w:fldCharType="end"/>
          </w:r>
        </w:p>
      </w:tc>
    </w:tr>
  </w:tbl>
  <w:p>
    <w:pPr>
      <w:pStyle w:val="HeadingRight"/>
      <w:rPr>
        <w:rFonts w:hint="eastAsia"/>
      </w:rP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7</w:t>
          </w:r>
          <w:r>
            <w:fldChar w:fldCharType="end"/>
          </w:r>
        </w:p>
      </w:tc>
    </w:tr>
  </w:tbl>
  <w:p>
    <w:pPr>
      <w:pStyle w:val="HeadingRight"/>
      <w:rPr>
        <w:rFonts w:hint="eastAsia"/>
      </w:rP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9</w:t>
          </w:r>
          <w:r>
            <w:fldChar w:fldCharType="end"/>
          </w:r>
        </w:p>
      </w:tc>
    </w:tr>
  </w:tbl>
  <w:p>
    <w:pPr>
      <w:pStyle w:val="HeadingRight"/>
      <w:rPr>
        <w:rFonts w:hint="eastAsia"/>
      </w:rP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noProof/>
            </w:rPr>
            <w:t>i-1</w:t>
          </w:r>
          <w:r>
            <w:fldChar w:fldCharType="end"/>
          </w:r>
        </w:p>
      </w:tc>
    </w:tr>
  </w:tbl>
  <w:p>
    <w:pPr>
      <w:pStyle w:val="HeadingRight"/>
      <w:rPr>
        <w:rFonts w:hint="eastAsia"/>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top w:val="single" w:sz="4" w:space="0" w:color="auto"/>
      </w:tblBorders>
      <w:tblLayout w:type="fixed"/>
      <w:tblCellMar>
        <w:top w:w="0" w:type="dxa"/>
        <w:bottom w:w="0" w:type="dxa"/>
      </w:tblCellMar>
      <w:tblLook w:val="0000"/>
    </w:tblPr>
    <w:tblGrid>
      <w:gridCol w:w="2912"/>
      <w:gridCol w:w="3841"/>
      <w:gridCol w:w="2912"/>
    </w:tblGrid>
    <w:tr>
      <w:tblPrEx>
        <w:tblW w:w="0" w:type="auto"/>
        <w:tblInd w:w="108" w:type="dxa"/>
        <w:tblBorders>
          <w:top w:val="single" w:sz="4" w:space="0" w:color="auto"/>
        </w:tblBorders>
        <w:tblLayout w:type="fixed"/>
        <w:tblCellMar>
          <w:top w:w="0" w:type="dxa"/>
          <w:bottom w:w="0" w:type="dxa"/>
        </w:tblCellMar>
        <w:tblLook w:val="0000"/>
      </w:tblPrEx>
      <w:trPr>
        <w:trHeight w:val="453"/>
      </w:trPr>
      <w:tc>
        <w:tcPr>
          <w:tcW w:w="2912" w:type="dxa"/>
        </w:tcPr>
        <w:p>
          <w:pPr>
            <w:pStyle w:val="HeadingLeft"/>
            <w:rPr>
              <w:rFonts w:hint="eastAsia"/>
            </w:rPr>
          </w:pPr>
          <w:r>
            <w:rPr>
              <w:rFonts w:hint="eastAsia"/>
            </w:rPr>
            <w:t xml:space="preserve">Issue </w:t>
          </w:r>
          <w:r>
            <w:fldChar w:fldCharType="begin"/>
          </w:r>
          <w:r>
            <w:instrText xml:space="preserve"> DOCPROPERTY  DocumentVersion </w:instrText>
          </w:r>
          <w:r>
            <w:fldChar w:fldCharType="separate"/>
          </w:r>
          <w:r>
            <w:t>01</w:t>
          </w:r>
          <w:r>
            <w:fldChar w:fldCharType="end"/>
          </w:r>
          <w:r>
            <w:rPr>
              <w:rFonts w:hint="eastAsia"/>
            </w:rPr>
            <w:t xml:space="preserve"> (</w:t>
          </w:r>
          <w:r>
            <w:fldChar w:fldCharType="begin"/>
          </w:r>
          <w:r>
            <w:instrText xml:space="preserve"> DOCPROPERTY  ReleaseDate </w:instrText>
          </w:r>
          <w:r>
            <w:fldChar w:fldCharType="separate"/>
          </w:r>
          <w:r>
            <w:t>2024-12-30</w:t>
          </w:r>
          <w:r>
            <w:fldChar w:fldCharType="end"/>
          </w:r>
          <w:r>
            <w:rPr>
              <w:rFonts w:hint="eastAsia"/>
            </w:rPr>
            <w:t>)</w:t>
          </w:r>
        </w:p>
      </w:tc>
      <w:tc>
        <w:tcPr>
          <w:tcW w:w="3841" w:type="dxa"/>
        </w:tcPr>
        <w:p>
          <w:pPr>
            <w:pStyle w:val="HeadingMiddle"/>
            <w:rPr>
              <w:rFonts w:hint="eastAsia"/>
            </w:rPr>
          </w:pPr>
          <w:r>
            <w:fldChar w:fldCharType="begin"/>
          </w:r>
          <w:r>
            <w:instrText xml:space="preserve"> DOCPROPERTY  ProprietaryDeclaration  \* MERGEFORMAT </w:instrText>
          </w:r>
          <w:r>
            <w:fldChar w:fldCharType="separate"/>
          </w:r>
          <w:r>
            <w:rPr>
              <w:bCs/>
            </w:rPr>
            <w:t>Copyright</w:t>
          </w:r>
          <w:r>
            <w:t xml:space="preserve"> © Huawei Technologies Co.</w:t>
          </w:r>
          <w:r>
            <w:rPr>
              <w:rFonts w:cs="Times New Roman"/>
            </w:rPr>
            <w:t>, Ltd.</w:t>
          </w:r>
          <w:r>
            <w:rPr>
              <w:rFonts w:cs="Times New Roman"/>
            </w:rPr>
            <w:fldChar w:fldCharType="end"/>
          </w:r>
        </w:p>
      </w:tc>
      <w:tc>
        <w:tcPr>
          <w:tcW w:w="2912" w:type="dxa"/>
        </w:tcPr>
        <w:p>
          <w:pPr>
            <w:pStyle w:val="HeadingRight"/>
            <w:rPr>
              <w:rFonts w:hint="eastAsia"/>
            </w:rPr>
          </w:pPr>
          <w:r>
            <w:fldChar w:fldCharType="begin"/>
          </w:r>
          <w:r>
            <w:instrText xml:space="preserve">PAGE  </w:instrText>
          </w:r>
          <w:r>
            <w:fldChar w:fldCharType="separate"/>
          </w:r>
          <w:r>
            <w:rPr>
              <w:rFonts w:ascii="Times New Roman" w:eastAsia="宋体" w:cs="Times New Roman"/>
              <w:kern w:val="2"/>
              <w:sz w:val="20"/>
              <w:szCs w:val="20"/>
              <w:lang w:val="en-US" w:eastAsia="zh-CN" w:bidi="ar-SA"/>
            </w:rPr>
            <w:t>20</w:t>
          </w:r>
          <w:r>
            <w:fldChar w:fldCharType="end"/>
          </w:r>
        </w:p>
      </w:tc>
    </w:tr>
  </w:tbl>
  <w:p>
    <w:pPr>
      <w:pStyle w:val="HeadingRight"/>
      <w:rPr>
        <w:rFonts w:hint="eastAsia"/>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
        <w:separator/>
      </w:r>
    </w:p>
    <w:p/>
    <w:p/>
    <w:p/>
    <w:p/>
  </w:footnote>
  <w:footnote w:type="continuationSeparator" w:id="1">
    <w:p>
      <w:r>
        <w:continuationSeparator/>
      </w:r>
    </w:p>
    <w:p/>
    <w:p/>
    <w:p/>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ing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rPr>
              <w:noProof/>
            </w:rPr>
            <w:t>About This Document</w:t>
          </w:r>
          <w:r>
            <w:fldChar w:fldCharType="end"/>
          </w:r>
        </w:p>
      </w:tc>
    </w:tr>
  </w:tbl>
  <w:p>
    <w:pPr>
      <w:pStyle w:val="Heading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29"/>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29"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"Heading1 no Number" </w:instrText>
          </w:r>
          <w:r>
            <w:fldChar w:fldCharType="separate"/>
          </w:r>
          <w:r>
            <w:t>Change History</w:t>
          </w:r>
          <w:r>
            <w:fldChar w:fldCharType="end"/>
          </w:r>
        </w:p>
      </w:tc>
    </w:tr>
  </w:tbl>
  <w:p>
    <w:pPr>
      <w:pStyle w:val="HeadingRight"/>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rPr>
              <w:noProof/>
            </w:rPr>
            <w:t>Contents (Contents)</w:t>
          </w:r>
          <w:r>
            <w:fldChar w:fldCharType="end"/>
          </w:r>
        </w:p>
      </w:tc>
    </w:tr>
  </w:tbl>
  <w:p>
    <w:pPr>
      <w:pStyle w:val="HeadingRight"/>
    </w:pP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rPr>
              <w:rFonts w:cs="Times New Roman"/>
            </w:rPr>
          </w:pPr>
          <w:r>
            <w:fldChar w:fldCharType="begin"/>
          </w:r>
          <w:r>
            <w:instrText xml:space="preserve"> STYLEREF  "Contents" </w:instrText>
          </w:r>
          <w:r>
            <w:fldChar w:fldCharType="separate"/>
          </w:r>
          <w:r>
            <w:t>Contents</w:t>
          </w:r>
          <w:r>
            <w:fldChar w:fldCharType="end"/>
          </w:r>
        </w:p>
      </w:tc>
    </w:tr>
  </w:tbl>
  <w:p>
    <w:pPr>
      <w:pStyle w:val="Heading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5460"/>
      <w:gridCol w:w="420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5460" w:type="dxa"/>
          <w:vAlign w:val="bottom"/>
        </w:tcPr>
        <w:p>
          <w:pPr>
            <w:pStyle w:val="HeadingLeft"/>
            <w:rPr>
              <w:rFonts w:cs="Times New Roman"/>
            </w:rPr>
          </w:pPr>
        </w:p>
      </w:tc>
      <w:tc>
        <w:tcPr>
          <w:tcW w:w="4200" w:type="dxa"/>
          <w:vAlign w:val="bottom"/>
        </w:tcPr>
        <w:p>
          <w:pPr>
            <w:pStyle w:val="HeadingRight"/>
            <w:rPr>
              <w:rFonts w:cs="Times New Roman"/>
            </w:rPr>
          </w:pPr>
        </w:p>
      </w:tc>
    </w:tr>
  </w:tbl>
  <w:p>
    <w:pPr>
      <w:pStyle w:val="HeadingRight"/>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1 </w:t>
          </w:r>
          <w:r>
            <w:rPr>
              <w:noProof/>
            </w:rPr>
            <w:fldChar w:fldCharType="end"/>
          </w:r>
          <w:r>
            <w:fldChar w:fldCharType="begin"/>
          </w:r>
          <w:r>
            <w:instrText xml:space="preserve"> STYLEREF  "1"  </w:instrText>
          </w:r>
          <w:r>
            <w:fldChar w:fldCharType="separate"/>
          </w:r>
          <w:r>
            <w:t>Version Requirements</w:t>
          </w:r>
          <w:r>
            <w:fldChar w:fldCharType="end"/>
          </w:r>
        </w:p>
      </w:tc>
    </w:tr>
  </w:tbl>
  <w:p>
    <w:pPr>
      <w:pStyle w:val="HeadingRight"/>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2 </w:t>
          </w:r>
          <w:r>
            <w:rPr>
              <w:noProof/>
            </w:rPr>
            <w:fldChar w:fldCharType="end"/>
          </w:r>
          <w:r>
            <w:fldChar w:fldCharType="begin"/>
          </w:r>
          <w:r>
            <w:instrText xml:space="preserve"> STYLEREF  "1"  </w:instrText>
          </w:r>
          <w:r>
            <w:fldChar w:fldCharType="separate"/>
          </w:r>
          <w:r>
            <w:t>Version Compatibility</w:t>
          </w:r>
          <w:r>
            <w:fldChar w:fldCharType="end"/>
          </w:r>
        </w:p>
      </w:tc>
    </w:tr>
  </w:tbl>
  <w:p>
    <w:pPr>
      <w:pStyle w:val="HeadingRight"/>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3 </w:t>
          </w:r>
          <w:r>
            <w:rPr>
              <w:noProof/>
            </w:rPr>
            <w:fldChar w:fldCharType="end"/>
          </w:r>
          <w:r>
            <w:fldChar w:fldCharType="begin"/>
          </w:r>
          <w:r>
            <w:instrText xml:space="preserve"> STYLEREF  "1"  </w:instrText>
          </w:r>
          <w:r>
            <w:fldChar w:fldCharType="separate"/>
          </w:r>
          <w:r>
            <w:t>Important Notes</w:t>
          </w:r>
          <w:r>
            <w:fldChar w:fldCharType="end"/>
          </w:r>
        </w:p>
      </w:tc>
    </w:tr>
  </w:tbl>
  <w:p>
    <w:pPr>
      <w:pStyle w:val="HeadingRight"/>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4 </w:t>
          </w:r>
          <w:r>
            <w:rPr>
              <w:noProof/>
            </w:rPr>
            <w:fldChar w:fldCharType="end"/>
          </w:r>
          <w:r>
            <w:fldChar w:fldCharType="begin"/>
          </w:r>
          <w:r>
            <w:instrText xml:space="preserve"> STYLEREF  "1"  </w:instrText>
          </w:r>
          <w:r>
            <w:fldChar w:fldCharType="separate"/>
          </w:r>
          <w:r>
            <w:t>V700R001C00SPC200</w:t>
          </w:r>
          <w:r>
            <w:fldChar w:fldCharType="end"/>
          </w:r>
        </w:p>
      </w:tc>
    </w:tr>
  </w:tbl>
  <w:p>
    <w:pPr>
      <w:pStyle w:val="HeadingRight"/>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noProof/>
            </w:rPr>
            <w:t xml:space="preserve">2 </w:t>
          </w:r>
          <w:r>
            <w:rPr>
              <w:noProof/>
            </w:rPr>
            <w:fldChar w:fldCharType="end"/>
          </w:r>
          <w:r>
            <w:fldChar w:fldCharType="begin"/>
          </w:r>
          <w:r>
            <w:instrText xml:space="preserve"> STYLEREF  "1"  </w:instrText>
          </w:r>
          <w:r>
            <w:fldChar w:fldCharType="separate"/>
          </w:r>
          <w:r>
            <w:rPr>
              <w:noProof/>
            </w:rPr>
            <w:t>Procedure</w:t>
          </w:r>
          <w:r>
            <w:fldChar w:fldCharType="end"/>
          </w:r>
        </w:p>
      </w:tc>
    </w:tr>
  </w:tbl>
  <w:p>
    <w:pPr>
      <w:pStyle w:val="HeadingRight"/>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"1" \n  \* MERGEFORMAT </w:instrText>
          </w:r>
          <w:r>
            <w:fldChar w:fldCharType="separate"/>
          </w:r>
          <w:r>
            <w:rPr>
              <w:rFonts w:ascii="Times New Roman" w:eastAsia="宋体" w:cs="Times New Roman"/>
              <w:noProof/>
              <w:kern w:val="2"/>
              <w:sz w:val="20"/>
              <w:szCs w:val="20"/>
              <w:lang w:val="en-US" w:eastAsia="zh-CN" w:bidi="ar-SA"/>
            </w:rPr>
            <w:t xml:space="preserve">5 </w:t>
          </w:r>
          <w:r>
            <w:rPr>
              <w:noProof/>
            </w:rPr>
            <w:fldChar w:fldCharType="end"/>
          </w:r>
          <w:r>
            <w:fldChar w:fldCharType="begin"/>
          </w:r>
          <w:r>
            <w:instrText xml:space="preserve"> STYLEREF  "1"  </w:instrText>
          </w:r>
          <w:r>
            <w:fldChar w:fldCharType="separate"/>
          </w:r>
          <w:r>
            <w:t>Related Documentation</w:t>
          </w:r>
          <w:r>
            <w:fldChar w:fldCharType="end"/>
          </w:r>
        </w:p>
      </w:tc>
    </w:tr>
  </w:tbl>
  <w:p>
    <w:pPr>
      <w:pStyle w:val="HeadingRight"/>
    </w:pPr>
  </w:p>
</w:hdr>
</file>

<file path=word/header2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2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Analysis and Solutions for Vulnerabilities Detected by Third-Party Software</w:t>
          </w:r>
          <w:r>
            <w:fldChar w:fldCharType="end"/>
          </w:r>
        </w:p>
      </w:tc>
    </w:tr>
  </w:tbl>
  <w:p>
    <w:pPr>
      <w:pStyle w:val="HeadingRight"/>
    </w:pPr>
  </w:p>
</w:hdr>
</file>

<file path=word/header2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rPr>
              <w:noProof/>
            </w:rPr>
            <w:t xml:space="preserve">A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rPr>
              <w:noProof/>
            </w:rPr>
            <w:t>11111</w:t>
          </w:r>
          <w:r>
            <w:fldChar w:fldCharType="end"/>
          </w:r>
        </w:p>
      </w:tc>
    </w:tr>
  </w:tbl>
  <w:p>
    <w:pPr>
      <w:pStyle w:val="HeadingRight"/>
    </w:pPr>
  </w:p>
</w:hdr>
</file>

<file path=word/header2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0" w:type="auto"/>
      <w:tblInd w:w="108" w:type="dxa"/>
      <w:tblBorders>
        <w:bottom w:val="single" w:sz="4" w:space="0" w:color="auto"/>
      </w:tblBorders>
      <w:tblLayout w:type="fixed"/>
      <w:tblCellMar>
        <w:top w:w="0" w:type="dxa"/>
        <w:bottom w:w="0" w:type="dxa"/>
      </w:tblCellMar>
      <w:tblLook w:val="0000"/>
    </w:tblPr>
    <w:tblGrid>
      <w:gridCol w:w="4830"/>
      <w:gridCol w:w="4830"/>
    </w:tblGrid>
    <w:tr>
      <w:tblPrEx>
        <w:tblW w:w="0" w:type="auto"/>
        <w:tblInd w:w="108" w:type="dxa"/>
        <w:tblBorders>
          <w:bottom w:val="single" w:sz="4" w:space="0" w:color="auto"/>
        </w:tblBorders>
        <w:tblLayout w:type="fixed"/>
        <w:tblCellMar>
          <w:top w:w="0" w:type="dxa"/>
          <w:bottom w:w="0" w:type="dxa"/>
        </w:tblCellMar>
        <w:tblLook w:val="0000"/>
      </w:tblPrEx>
      <w:trPr>
        <w:trHeight w:val="851"/>
      </w:trPr>
      <w:tc>
        <w:tcPr>
          <w:tcW w:w="4830" w:type="dxa"/>
          <w:vAlign w:val="bottom"/>
        </w:tcPr>
        <w:p>
          <w:pPr>
            <w:pStyle w:val="HeadingLeft"/>
            <w:rPr>
              <w:rFonts w:hint="eastAsia"/>
            </w:rPr>
          </w:pPr>
          <w:r>
            <w:fldChar w:fldCharType="begin"/>
          </w:r>
          <w:r>
            <w:instrText xml:space="preserve"> DOCPROPERTY  "Product&amp;Project Name"</w:instrText>
          </w:r>
          <w:r>
            <w:fldChar w:fldCharType="separate"/>
          </w:r>
          <w:r>
            <w:t>OceanStor Dorado</w:t>
          </w:r>
          <w:r>
            <w:fldChar w:fldCharType="end"/>
          </w:r>
        </w:p>
        <w:p>
          <w:pPr>
            <w:pStyle w:val="HeadingLeft"/>
            <w:rPr>
              <w:rFonts w:cs="Times New Roman"/>
            </w:rPr>
          </w:pPr>
          <w:r>
            <w:fldChar w:fldCharType="begin"/>
          </w:r>
          <w:r>
            <w:instrText xml:space="preserve"> DOCPROPERTY  DocumentName </w:instrText>
          </w:r>
          <w:r>
            <w:fldChar w:fldCharType="separate"/>
          </w:r>
          <w:r>
            <w:t>Release Notes</w:t>
          </w:r>
          <w:r>
            <w:fldChar w:fldCharType="end"/>
          </w:r>
        </w:p>
      </w:tc>
      <w:tc>
        <w:tcPr>
          <w:tcW w:w="4830" w:type="dxa"/>
          <w:vAlign w:val="bottom"/>
        </w:tcPr>
        <w:p>
          <w:pPr>
            <w:pStyle w:val="HeadingRight"/>
          </w:pPr>
          <w:r>
            <w:fldChar w:fldCharType="begin"/>
          </w:r>
          <w:r>
            <w:instrText xml:space="preserve"> STYLEREF  "</w:instrText>
          </w:r>
          <w:r>
            <w:rPr>
              <w:rFonts w:hint="eastAsia"/>
            </w:rPr>
            <w:instrText>Appendix heading 1</w:instrText>
          </w:r>
          <w:r>
            <w:instrText xml:space="preserve">" \n  </w:instrText>
          </w:r>
          <w:r>
            <w:fldChar w:fldCharType="separate"/>
          </w:r>
          <w:r>
            <w:t xml:space="preserve">B </w:t>
          </w:r>
          <w:r>
            <w:fldChar w:fldCharType="end"/>
          </w:r>
          <w:r>
            <w:fldChar w:fldCharType="begin"/>
          </w:r>
          <w:r>
            <w:instrText xml:space="preserve"> STYLEREF  "</w:instrText>
          </w:r>
          <w:r>
            <w:rPr>
              <w:rFonts w:hint="eastAsia"/>
            </w:rPr>
            <w:instrText>Appendix heading 1</w:instrText>
          </w:r>
          <w:r>
            <w:instrText xml:space="preserve">"  </w:instrText>
          </w:r>
          <w:r>
            <w:fldChar w:fldCharType="separate"/>
          </w:r>
          <w:r>
            <w:t>Acronyms and Abbreviations</w:t>
          </w:r>
          <w:r>
            <w:fldChar w:fldCharType="end"/>
          </w:r>
        </w:p>
      </w:tc>
    </w:tr>
  </w:tbl>
  <w:p>
    <w:pPr>
      <w:pStyle w:val="Heading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99A0F9D2"/>
    <w:lvl w:ilvl="0">
      <w:start w:val="1"/>
      <w:numFmt w:val="decimal"/>
      <w:pStyle w:val="ListNumber5"/>
      <w:lvlText w:val="%1."/>
      <w:lvlJc w:val="left"/>
      <w:pPr>
        <w:tabs>
          <w:tab w:val="num" w:pos="2040"/>
        </w:tabs>
        <w:ind w:left="2040" w:hanging="360"/>
      </w:pPr>
    </w:lvl>
  </w:abstractNum>
  <w:abstractNum w:abstractNumId="1">
    <w:nsid w:val="FFFFFF7D"/>
    <w:multiLevelType w:val="singleLevel"/>
    <w:tmpl w:val="B67E9368"/>
    <w:lvl w:ilvl="0">
      <w:start w:val="1"/>
      <w:numFmt w:val="decimal"/>
      <w:pStyle w:val="ListNumber4"/>
      <w:lvlText w:val="%1."/>
      <w:lvlJc w:val="left"/>
      <w:pPr>
        <w:tabs>
          <w:tab w:val="num" w:pos="1620"/>
        </w:tabs>
        <w:ind w:left="1620" w:hanging="360"/>
      </w:pPr>
    </w:lvl>
  </w:abstractNum>
  <w:abstractNum w:abstractNumId="2">
    <w:nsid w:val="FFFFFF7E"/>
    <w:multiLevelType w:val="singleLevel"/>
    <w:tmpl w:val="B3569E6A"/>
    <w:lvl w:ilvl="0">
      <w:start w:val="1"/>
      <w:numFmt w:val="decimal"/>
      <w:pStyle w:val="ListNumber3"/>
      <w:lvlText w:val="%1."/>
      <w:lvlJc w:val="left"/>
      <w:pPr>
        <w:tabs>
          <w:tab w:val="num" w:pos="1200"/>
        </w:tabs>
        <w:ind w:left="1200" w:hanging="360"/>
      </w:pPr>
    </w:lvl>
  </w:abstractNum>
  <w:abstractNum w:abstractNumId="3">
    <w:nsid w:val="FFFFFF7F"/>
    <w:multiLevelType w:val="singleLevel"/>
    <w:tmpl w:val="C380AB64"/>
    <w:lvl w:ilvl="0">
      <w:start w:val="1"/>
      <w:numFmt w:val="decimal"/>
      <w:pStyle w:val="ListNumber2"/>
      <w:lvlText w:val="%1."/>
      <w:lvlJc w:val="left"/>
      <w:pPr>
        <w:tabs>
          <w:tab w:val="num" w:pos="780"/>
        </w:tabs>
        <w:ind w:left="780" w:hanging="360"/>
      </w:pPr>
    </w:lvl>
  </w:abstractNum>
  <w:abstractNum w:abstractNumId="4">
    <w:nsid w:val="FFFFFF80"/>
    <w:multiLevelType w:val="singleLevel"/>
    <w:tmpl w:val="5540CDCC"/>
    <w:lvl w:ilvl="0">
      <w:start w:val="1"/>
      <w:numFmt w:val="bullet"/>
      <w:pStyle w:val="ListBullet5"/>
      <w:lvlText w:val=""/>
      <w:lvlJc w:val="left"/>
      <w:pPr>
        <w:tabs>
          <w:tab w:val="num" w:pos="2040"/>
        </w:tabs>
        <w:ind w:left="2040" w:hanging="360"/>
      </w:pPr>
      <w:rPr>
        <w:rFonts w:ascii="Wingdings" w:hAnsi="Wingdings" w:hint="default"/>
      </w:rPr>
    </w:lvl>
  </w:abstractNum>
  <w:abstractNum w:abstractNumId="5">
    <w:nsid w:val="FFFFFF81"/>
    <w:multiLevelType w:val="singleLevel"/>
    <w:tmpl w:val="62AAB2E4"/>
    <w:lvl w:ilvl="0">
      <w:start w:val="1"/>
      <w:numFmt w:val="bullet"/>
      <w:pStyle w:val="ListBullet4"/>
      <w:lvlText w:val=""/>
      <w:lvlJc w:val="left"/>
      <w:pPr>
        <w:tabs>
          <w:tab w:val="num" w:pos="1620"/>
        </w:tabs>
        <w:ind w:left="1620" w:hanging="360"/>
      </w:pPr>
      <w:rPr>
        <w:rFonts w:ascii="Wingdings" w:hAnsi="Wingdings" w:hint="default"/>
      </w:rPr>
    </w:lvl>
  </w:abstractNum>
  <w:abstractNum w:abstractNumId="6">
    <w:nsid w:val="FFFFFF82"/>
    <w:multiLevelType w:val="singleLevel"/>
    <w:tmpl w:val="82CC6F5A"/>
    <w:lvl w:ilvl="0">
      <w:start w:val="1"/>
      <w:numFmt w:val="bullet"/>
      <w:pStyle w:val="ListBullet3"/>
      <w:lvlText w:val=""/>
      <w:lvlJc w:val="left"/>
      <w:pPr>
        <w:tabs>
          <w:tab w:val="num" w:pos="1200"/>
        </w:tabs>
        <w:ind w:left="1200" w:hanging="360"/>
      </w:pPr>
      <w:rPr>
        <w:rFonts w:ascii="Wingdings" w:hAnsi="Wingdings" w:hint="default"/>
      </w:rPr>
    </w:lvl>
  </w:abstractNum>
  <w:abstractNum w:abstractNumId="7">
    <w:nsid w:val="FFFFFF83"/>
    <w:multiLevelType w:val="singleLevel"/>
    <w:tmpl w:val="8CEEF62C"/>
    <w:lvl w:ilvl="0">
      <w:start w:val="1"/>
      <w:numFmt w:val="bullet"/>
      <w:pStyle w:val="ListBullet2"/>
      <w:lvlText w:val=""/>
      <w:lvlJc w:val="left"/>
      <w:pPr>
        <w:tabs>
          <w:tab w:val="num" w:pos="780"/>
        </w:tabs>
        <w:ind w:left="780" w:hanging="360"/>
      </w:pPr>
      <w:rPr>
        <w:rFonts w:ascii="Wingdings" w:hAnsi="Wingdings" w:hint="default"/>
      </w:rPr>
    </w:lvl>
  </w:abstractNum>
  <w:abstractNum w:abstractNumId="8">
    <w:nsid w:val="FFFFFF88"/>
    <w:multiLevelType w:val="singleLevel"/>
    <w:tmpl w:val="DA3EF886"/>
    <w:lvl w:ilvl="0">
      <w:start w:val="1"/>
      <w:numFmt w:val="decimal"/>
      <w:pStyle w:val="ListNumber"/>
      <w:lvlText w:val="%1."/>
      <w:lvlJc w:val="left"/>
      <w:pPr>
        <w:tabs>
          <w:tab w:val="num" w:pos="360"/>
        </w:tabs>
        <w:ind w:left="360" w:hanging="360"/>
      </w:pPr>
    </w:lvl>
  </w:abstractNum>
  <w:abstractNum w:abstractNumId="9">
    <w:nsid w:val="FFFFFF89"/>
    <w:multiLevelType w:val="singleLevel"/>
    <w:tmpl w:val="95B607E8"/>
    <w:lvl w:ilvl="0">
      <w:start w:val="1"/>
      <w:numFmt w:val="bullet"/>
      <w:pStyle w:val="ListBullet"/>
      <w:lvlText w:val=""/>
      <w:lvlJc w:val="left"/>
      <w:pPr>
        <w:tabs>
          <w:tab w:val="num" w:pos="360"/>
        </w:tabs>
        <w:ind w:left="360" w:hanging="360"/>
      </w:pPr>
      <w:rPr>
        <w:rFonts w:ascii="Wingdings" w:hAnsi="Wingdings" w:hint="default"/>
      </w:rPr>
    </w:lvl>
  </w:abstractNum>
  <w:abstractNum w:abstractNumId="10">
    <w:nsid w:val="05581F28"/>
    <w:multiLevelType w:val="multilevel"/>
    <w:tmpl w:val="A9581F64"/>
    <w:lvl w:ilvl="0">
      <w:start w:val="1"/>
      <w:numFmt w:val="decimal"/>
      <w:suff w:val="nothing"/>
      <w:lvlText w:val="%1 "/>
      <w:lvlJc w:val="left"/>
      <w:pPr>
        <w:ind w:left="-143"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43"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43"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559"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558"/>
        </w:tabs>
        <w:ind w:left="1558"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558"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558" w:firstLine="0"/>
      </w:pPr>
      <w:rPr>
        <w:rFonts w:ascii="Times New Roman" w:eastAsia="黑体" w:hAnsi="Times New Roman" w:hint="default"/>
        <w:b/>
        <w:bCs/>
        <w:i w:val="0"/>
        <w:iCs w:val="0"/>
        <w:color w:val="auto"/>
        <w:sz w:val="21"/>
        <w:szCs w:val="21"/>
      </w:rPr>
    </w:lvl>
  </w:abstractNum>
  <w:abstractNum w:abstractNumId="11">
    <w:nsid w:val="0EDB2900"/>
    <w:multiLevelType w:val="hybridMultilevel"/>
    <w:tmpl w:val="1698331E"/>
    <w:lvl w:ilvl="0">
      <w:start w:val="1"/>
      <w:numFmt w:val="bullet"/>
      <w:pStyle w:val="SubItemList"/>
      <w:lvlText w:val="−"/>
      <w:lvlJc w:val="left"/>
      <w:pPr>
        <w:tabs>
          <w:tab w:val="num" w:pos="2551"/>
        </w:tabs>
        <w:ind w:left="2551" w:hanging="425"/>
      </w:pPr>
      <w:rPr>
        <w:rFonts w:ascii="Times New Roman" w:hAnsi="Times New Roman" w:cs="Times New Roman" w:hint="default"/>
        <w:sz w:val="16"/>
        <w:szCs w:val="16"/>
      </w:rPr>
    </w:lvl>
    <w:lvl w:ilvl="1">
      <w:start w:val="1"/>
      <w:numFmt w:val="ganada"/>
      <w:pStyle w:val="ThirdLevelItemList"/>
      <w:lvlText w:val=""/>
      <w:lvlJc w:val="left"/>
      <w:pPr>
        <w:tabs>
          <w:tab w:val="num" w:pos="2976"/>
        </w:tabs>
        <w:ind w:left="2976" w:hanging="425"/>
      </w:pPr>
      <w:rPr>
        <w:rFonts w:ascii="Wingdings" w:hAnsi="Wingdings" w:cs="Wingdings" w:hint="default"/>
        <w:sz w:val="16"/>
        <w:szCs w:val="16"/>
      </w:rPr>
    </w:lvl>
    <w:lvl w:ilvl="2">
      <w:start w:val="1"/>
      <w:numFmt w:val="bullet"/>
      <w:pStyle w:val="FourthLevelItemList"/>
      <w:lvlText w:val="□"/>
      <w:lvlJc w:val="left"/>
      <w:pPr>
        <w:tabs>
          <w:tab w:val="num" w:pos="3401"/>
        </w:tabs>
        <w:ind w:left="3401" w:hanging="425"/>
      </w:pPr>
      <w:rPr>
        <w:rFonts w:ascii="Wingdings" w:hAnsi="Wingdings" w:cs="Wingdings" w:hint="default"/>
        <w:sz w:val="16"/>
        <w:szCs w:val="16"/>
      </w:rPr>
    </w:lvl>
    <w:lvl w:ilvl="3">
      <w:start w:val="1"/>
      <w:numFmt w:val="bullet"/>
      <w:lvlText w:val=""/>
      <w:lvlJc w:val="left"/>
      <w:pPr>
        <w:tabs>
          <w:tab w:val="num" w:pos="1680"/>
        </w:tabs>
        <w:ind w:left="1680" w:hanging="420"/>
      </w:pPr>
      <w:rPr>
        <w:rFonts w:ascii="Wingdings" w:hAnsi="Wingdings" w:cs="Wingdings" w:hint="default"/>
      </w:rPr>
    </w:lvl>
    <w:lvl w:ilvl="4">
      <w:start w:val="1"/>
      <w:numFmt w:val="bullet"/>
      <w:lvlText w:val=""/>
      <w:lvlJc w:val="left"/>
      <w:pPr>
        <w:tabs>
          <w:tab w:val="num" w:pos="2100"/>
        </w:tabs>
        <w:ind w:left="2100" w:hanging="420"/>
      </w:pPr>
      <w:rPr>
        <w:rFonts w:ascii="Wingdings" w:hAnsi="Wingdings" w:cs="Wingdings" w:hint="default"/>
      </w:rPr>
    </w:lvl>
    <w:lvl w:ilvl="5">
      <w:start w:val="1"/>
      <w:numFmt w:val="bullet"/>
      <w:lvlText w:val=""/>
      <w:lvlJc w:val="left"/>
      <w:pPr>
        <w:tabs>
          <w:tab w:val="num" w:pos="2520"/>
        </w:tabs>
        <w:ind w:left="2520" w:hanging="420"/>
      </w:pPr>
      <w:rPr>
        <w:rFonts w:ascii="Wingdings" w:hAnsi="Wingdings" w:cs="Wingdings" w:hint="default"/>
      </w:rPr>
    </w:lvl>
    <w:lvl w:ilvl="6">
      <w:start w:val="1"/>
      <w:numFmt w:val="bullet"/>
      <w:lvlText w:val=""/>
      <w:lvlJc w:val="left"/>
      <w:pPr>
        <w:tabs>
          <w:tab w:val="num" w:pos="2940"/>
        </w:tabs>
        <w:ind w:left="2940" w:hanging="420"/>
      </w:pPr>
      <w:rPr>
        <w:rFonts w:ascii="Wingdings" w:hAnsi="Wingdings" w:cs="Wingdings" w:hint="default"/>
      </w:rPr>
    </w:lvl>
    <w:lvl w:ilvl="7">
      <w:start w:val="1"/>
      <w:numFmt w:val="bullet"/>
      <w:lvlText w:val=""/>
      <w:lvlJc w:val="left"/>
      <w:pPr>
        <w:tabs>
          <w:tab w:val="num" w:pos="3360"/>
        </w:tabs>
        <w:ind w:left="3360" w:hanging="420"/>
      </w:pPr>
      <w:rPr>
        <w:rFonts w:ascii="Wingdings" w:hAnsi="Wingdings" w:cs="Wingdings" w:hint="default"/>
      </w:rPr>
    </w:lvl>
    <w:lvl w:ilvl="8">
      <w:start w:val="1"/>
      <w:numFmt w:val="bullet"/>
      <w:lvlText w:val=""/>
      <w:lvlJc w:val="left"/>
      <w:pPr>
        <w:tabs>
          <w:tab w:val="num" w:pos="3780"/>
        </w:tabs>
        <w:ind w:left="3780" w:hanging="420"/>
      </w:pPr>
      <w:rPr>
        <w:rFonts w:ascii="Wingdings" w:hAnsi="Wingdings" w:cs="Wingdings" w:hint="default"/>
      </w:rPr>
    </w:lvl>
  </w:abstractNum>
  <w:abstractNum w:abstractNumId="12">
    <w:nsid w:val="13A674F3"/>
    <w:multiLevelType w:val="hybridMultilevel"/>
    <w:tmpl w:val="04DAA2B6"/>
    <w:lvl w:ilvl="0">
      <w:start w:val="1"/>
      <w:numFmt w:val="bullet"/>
      <w:pStyle w:val="NotesTextListinTable"/>
      <w:lvlText w:val=""/>
      <w:lvlJc w:val="left"/>
      <w:pPr>
        <w:tabs>
          <w:tab w:val="num" w:pos="454"/>
        </w:tabs>
        <w:ind w:left="454" w:hanging="284"/>
      </w:pPr>
      <w:rPr>
        <w:rFonts w:ascii="Wingdings" w:hAnsi="Wingdings" w:hint="default"/>
        <w:color w:val="auto"/>
        <w:spacing w:val="0"/>
        <w:w w:val="100"/>
        <w:position w:val="1"/>
        <w:sz w:val="13"/>
        <w:szCs w:val="13"/>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3">
    <w:nsid w:val="14B10542"/>
    <w:multiLevelType w:val="multilevel"/>
    <w:tmpl w:val="3E44434C"/>
    <w:lvl w:ilvl="0">
      <w:start w:val="1"/>
      <w:numFmt w:val="decimal"/>
      <w:suff w:val="nothing"/>
      <w:lvlText w:val="%1 "/>
      <w:lvlJc w:val="left"/>
      <w:pPr>
        <w:ind w:left="-1"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1"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1"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1"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0"/>
        </w:tabs>
        <w:ind w:left="1700"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8"/>
        </w:tabs>
        <w:ind w:left="2268"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0"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0" w:firstLine="0"/>
      </w:pPr>
      <w:rPr>
        <w:rFonts w:ascii="Times New Roman" w:eastAsia="黑体" w:hAnsi="Times New Roman" w:hint="default"/>
        <w:b/>
        <w:bCs/>
        <w:i w:val="0"/>
        <w:iCs w:val="0"/>
        <w:color w:val="auto"/>
        <w:sz w:val="21"/>
        <w:szCs w:val="21"/>
      </w:rPr>
    </w:lvl>
  </w:abstractNum>
  <w:abstractNum w:abstractNumId="14">
    <w:nsid w:val="171657A1"/>
    <w:multiLevelType w:val="multilevel"/>
    <w:tmpl w:val="C83423D0"/>
    <w:lvl w:ilvl="0">
      <w:start w:val="1"/>
      <w:numFmt w:val="decimal"/>
      <w:pStyle w:val="Heading1"/>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2"/>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3"/>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lvlRestart w:val="1"/>
      <w:pStyle w:val="Heading4"/>
      <w:suff w:val="nothing"/>
      <w:lvlText w:val="%1.%2.%3.%4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8"/>
        <w:szCs w:val="28"/>
        <w:vertAlign w:val="baseline"/>
      </w:rPr>
    </w:lvl>
    <w:lvl w:ilvl="4">
      <w:start w:val="1"/>
      <w:numFmt w:val="decimal"/>
      <w:lvlRestart w:val="1"/>
      <w:pStyle w:val="Heading5"/>
      <w:suff w:val="nothing"/>
      <w:lvlText w:val="%1.%2.%3.%4.%5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sz w:val="24"/>
        <w:szCs w:val="24"/>
        <w:vertAlign w:val="baseline"/>
      </w:rPr>
    </w:lvl>
    <w:lvl w:ilvl="5">
      <w:start w:val="1"/>
      <w:numFmt w:val="none"/>
      <w:pStyle w:val="BlockLabel"/>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6">
      <w:start w:val="1"/>
      <w:numFmt w:val="decimal"/>
      <w:pStyle w:val="Step"/>
      <w:lvlText w:val="Step %7"/>
      <w:lvlJc w:val="right"/>
      <w:pPr>
        <w:tabs>
          <w:tab w:val="num" w:pos="1701"/>
        </w:tabs>
        <w:ind w:left="1701" w:hanging="159"/>
      </w:pPr>
      <w:rPr>
        <w:rFonts w:ascii="Book Antiqua" w:hAnsi="Book Antiqua" w:cs="Times New Roman" w:hint="default"/>
        <w:b/>
        <w:bCs/>
        <w:i w:val="0"/>
        <w:iCs w:val="0"/>
        <w:color w:val="auto"/>
        <w:sz w:val="21"/>
        <w:szCs w:val="21"/>
      </w:rPr>
    </w:lvl>
    <w:lvl w:ilvl="7">
      <w:start w:val="1"/>
      <w:numFmt w:val="decimal"/>
      <w:lvlRestart w:val="1"/>
      <w:pStyle w:val="FigureDescription"/>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pStyle w:val="TableDescription"/>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5">
    <w:nsid w:val="23B92005"/>
    <w:multiLevelType w:val="hybridMultilevel"/>
    <w:tmpl w:val="F5E05ACC"/>
    <w:lvl w:ilvl="0">
      <w:start w:val="1"/>
      <w:numFmt w:val="bullet"/>
      <w:pStyle w:val="CAUTIONTextList"/>
      <w:lvlText w:val=""/>
      <w:lvlJc w:val="left"/>
      <w:pPr>
        <w:tabs>
          <w:tab w:val="num" w:pos="1985"/>
        </w:tabs>
        <w:ind w:left="1985" w:hanging="284"/>
      </w:pPr>
      <w:rPr>
        <w:rFonts w:ascii="Wingdings" w:hAnsi="Wingdings" w:hint="default"/>
        <w:color w:val="auto"/>
        <w:spacing w:val="0"/>
        <w:w w:val="100"/>
        <w:position w:val="1"/>
        <w:sz w:val="16"/>
        <w:szCs w:val="16"/>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16">
    <w:nsid w:val="26CA56B6"/>
    <w:multiLevelType w:val="multilevel"/>
    <w:tmpl w:val="F2D698BC"/>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17">
    <w:nsid w:val="2C951E2A"/>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18">
    <w:nsid w:val="41C973A7"/>
    <w:multiLevelType w:val="hybridMultilevel"/>
    <w:tmpl w:val="FE2CA48E"/>
    <w:lvl w:ilvl="0">
      <w:start w:val="1"/>
      <w:numFmt w:val="decimal"/>
      <w:lvlRestart w:val="1"/>
      <w:pStyle w:val="FigureDescriptioninPreface"/>
      <w:suff w:val="space"/>
      <w:lvlText w:val="Figure %1"/>
      <w:lvlJc w:val="left"/>
      <w:pPr>
        <w:ind w:left="1701" w:firstLine="0"/>
      </w:pPr>
      <w:rPr>
        <w:rFonts w:ascii="Times New Roman" w:hAnsi="Times New Roman" w:cs="Book Antiqua" w:hint="default"/>
        <w:b/>
        <w:bCs/>
        <w:i w:val="0"/>
        <w:iCs w:val="0"/>
        <w:sz w:val="21"/>
        <w:szCs w:val="21"/>
        <w:u w:val="no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19">
    <w:nsid w:val="41C973A8"/>
    <w:multiLevelType w:val="hybridMultilevel"/>
    <w:tmpl w:val="FE2CA49E"/>
    <w:lvl w:ilvl="0">
      <w:start w:val="1"/>
      <w:numFmt w:val="decimal"/>
      <w:lvlRestart w:val="1"/>
      <w:pStyle w:val="TableDescriptioninPreface"/>
      <w:suff w:val="space"/>
      <w:lvlText w:val="Table %1"/>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0">
    <w:nsid w:val="42A046D5"/>
    <w:multiLevelType w:val="multilevel"/>
    <w:tmpl w:val="04090023"/>
    <w:styleLink w:val="ArticleSection"/>
    <w:lvl w:ilvl="0">
      <w:start w:val="1"/>
      <w:numFmt w:val="upperRoman"/>
      <w:lvlText w:val="第 %1 条"/>
      <w:lvlJc w:val="left"/>
      <w:pPr>
        <w:tabs>
          <w:tab w:val="num" w:pos="1800"/>
        </w:tabs>
        <w:ind w:left="0" w:firstLine="0"/>
      </w:pPr>
    </w:lvl>
    <w:lvl w:ilvl="1">
      <w:start w:val="1"/>
      <w:numFmt w:val="decimalZero"/>
      <w:isLgl/>
      <w:lvlText w:val="节 %1.%2"/>
      <w:lvlJc w:val="left"/>
      <w:pPr>
        <w:tabs>
          <w:tab w:val="num" w:pos="1440"/>
        </w:tabs>
        <w:ind w:left="0" w:firstLine="0"/>
      </w:pPr>
    </w:lvl>
    <w:lvl w:ilvl="2">
      <w:start w:val="1"/>
      <w:numFmt w:val="lowerLetter"/>
      <w:lvlText w:val="(%3)"/>
      <w:lvlJc w:val="left"/>
      <w:pPr>
        <w:tabs>
          <w:tab w:val="num" w:pos="1008"/>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nsid w:val="42CF4755"/>
    <w:multiLevelType w:val="hybridMultilevel"/>
    <w:tmpl w:val="1A940A0E"/>
    <w:lvl w:ilvl="0">
      <w:start w:val="1"/>
      <w:numFmt w:val="bullet"/>
      <w:pStyle w:val="ItemList"/>
      <w:lvlText w:val=""/>
      <w:lvlJc w:val="left"/>
      <w:pPr>
        <w:tabs>
          <w:tab w:val="num" w:pos="2126"/>
        </w:tabs>
        <w:ind w:left="2126" w:hanging="425"/>
      </w:pPr>
      <w:rPr>
        <w:rFonts w:ascii="Wingdings" w:hAnsi="Wingdings" w:cs="Wingdings" w:hint="default"/>
        <w:b w:val="0"/>
        <w:bCs w:val="0"/>
        <w:i w:val="0"/>
        <w:iCs w:val="0"/>
        <w:caps w:val="0"/>
        <w:strike w:val="0"/>
        <w:dstrike w:val="0"/>
        <w:outline w:val="0"/>
        <w:shadow w:val="0"/>
        <w:emboss w:val="0"/>
        <w:imprint w:val="0"/>
        <w:vanish w:val="0"/>
        <w:spacing w:val="0"/>
        <w:w w:val="100"/>
        <w:position w:val="2"/>
        <w:sz w:val="16"/>
        <w:szCs w:val="16"/>
        <w:vertAlign w:val="baseli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2">
    <w:nsid w:val="463C3DB5"/>
    <w:multiLevelType w:val="hybridMultilevel"/>
    <w:tmpl w:val="2668DBD8"/>
    <w:lvl w:ilvl="0">
      <w:start w:val="1"/>
      <w:numFmt w:val="decimal"/>
      <w:pStyle w:val="ItemStepinTable"/>
      <w:lvlText w:val="%1."/>
      <w:lvlJc w:val="left"/>
      <w:pPr>
        <w:tabs>
          <w:tab w:val="num" w:pos="284"/>
        </w:tabs>
        <w:ind w:left="284" w:hanging="284"/>
      </w:pPr>
      <w:rPr>
        <w:rFonts w:hint="eastAsia"/>
      </w:rPr>
    </w:lvl>
    <w:lvl w:ilvl="1" w:tentative="1">
      <w:start w:val="1"/>
      <w:numFmt w:val="lowerLetter"/>
      <w:lvlText w:val="%2)"/>
      <w:lvlJc w:val="left"/>
      <w:pPr>
        <w:tabs>
          <w:tab w:val="num" w:pos="840"/>
        </w:tabs>
        <w:ind w:left="840" w:hanging="420"/>
      </w:pPr>
    </w:lvl>
    <w:lvl w:ilvl="2" w:tentative="1">
      <w:start w:val="1"/>
      <w:numFmt w:val="lowerRoman"/>
      <w:lvlText w:val="%3."/>
      <w:lvlJc w:val="right"/>
      <w:pPr>
        <w:tabs>
          <w:tab w:val="num" w:pos="1260"/>
        </w:tabs>
        <w:ind w:left="1260" w:hanging="420"/>
      </w:pPr>
    </w:lvl>
    <w:lvl w:ilvl="3" w:tentative="1">
      <w:start w:val="1"/>
      <w:numFmt w:val="decimal"/>
      <w:lvlText w:val="%4."/>
      <w:lvlJc w:val="left"/>
      <w:pPr>
        <w:tabs>
          <w:tab w:val="num" w:pos="1680"/>
        </w:tabs>
        <w:ind w:left="1680" w:hanging="420"/>
      </w:pPr>
    </w:lvl>
    <w:lvl w:ilvl="4" w:tentative="1">
      <w:start w:val="1"/>
      <w:numFmt w:val="lowerLetter"/>
      <w:lvlText w:val="%5)"/>
      <w:lvlJc w:val="left"/>
      <w:pPr>
        <w:tabs>
          <w:tab w:val="num" w:pos="2100"/>
        </w:tabs>
        <w:ind w:left="2100" w:hanging="420"/>
      </w:pPr>
    </w:lvl>
    <w:lvl w:ilvl="5" w:tentative="1">
      <w:start w:val="1"/>
      <w:numFmt w:val="lowerRoman"/>
      <w:lvlText w:val="%6."/>
      <w:lvlJc w:val="right"/>
      <w:pPr>
        <w:tabs>
          <w:tab w:val="num" w:pos="2520"/>
        </w:tabs>
        <w:ind w:left="2520" w:hanging="420"/>
      </w:pPr>
    </w:lvl>
    <w:lvl w:ilvl="6" w:tentative="1">
      <w:start w:val="1"/>
      <w:numFmt w:val="decimal"/>
      <w:lvlText w:val="%7."/>
      <w:lvlJc w:val="left"/>
      <w:pPr>
        <w:tabs>
          <w:tab w:val="num" w:pos="2940"/>
        </w:tabs>
        <w:ind w:left="2940" w:hanging="420"/>
      </w:pPr>
    </w:lvl>
    <w:lvl w:ilvl="7" w:tentative="1">
      <w:start w:val="1"/>
      <w:numFmt w:val="lowerLetter"/>
      <w:lvlText w:val="%8)"/>
      <w:lvlJc w:val="left"/>
      <w:pPr>
        <w:tabs>
          <w:tab w:val="num" w:pos="3360"/>
        </w:tabs>
        <w:ind w:left="3360" w:hanging="420"/>
      </w:pPr>
    </w:lvl>
    <w:lvl w:ilvl="8" w:tentative="1">
      <w:start w:val="1"/>
      <w:numFmt w:val="lowerRoman"/>
      <w:lvlText w:val="%9."/>
      <w:lvlJc w:val="right"/>
      <w:pPr>
        <w:tabs>
          <w:tab w:val="num" w:pos="3780"/>
        </w:tabs>
        <w:ind w:left="3780" w:hanging="420"/>
      </w:pPr>
    </w:lvl>
  </w:abstractNum>
  <w:abstractNum w:abstractNumId="23">
    <w:nsid w:val="48977F3D"/>
    <w:multiLevelType w:val="multilevel"/>
    <w:tmpl w:val="6324B2C4"/>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269"/>
        </w:tabs>
        <w:ind w:left="2269"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24">
    <w:nsid w:val="4DDA66D1"/>
    <w:multiLevelType w:val="multilevel"/>
    <w:tmpl w:val="825C87C0"/>
    <w:lvl w:ilvl="0">
      <w:start w:val="1"/>
      <w:numFmt w:val="upperLetter"/>
      <w:pStyle w:val="Appendixheading1"/>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2"/>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3"/>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5">
    <w:nsid w:val="59154C37"/>
    <w:multiLevelType w:val="multilevel"/>
    <w:tmpl w:val="C83423D0"/>
    <w:lvl w:ilvl="0">
      <w:start w:val="1"/>
      <w:numFmt w:val="upperLetter"/>
      <w:pStyle w:val="Heading7"/>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pStyle w:val="Heading8"/>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pStyle w:val="Heading9"/>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decimal"/>
      <w:pStyle w:val="4"/>
      <w:suff w:val="nothing"/>
      <w:lvlText w:val="%1.%2.%3.%4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8"/>
        <w:szCs w:val="28"/>
        <w:vertAlign w:val="baseline"/>
      </w:rPr>
    </w:lvl>
    <w:lvl w:ilvl="4">
      <w:start w:val="1"/>
      <w:numFmt w:val="decimal"/>
      <w:pStyle w:val="5"/>
      <w:suff w:val="nothing"/>
      <w:lvlText w:val="%1.%2.%3.%4.%5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24"/>
        <w:szCs w:val="24"/>
        <w:vertAlign w:val="baseline"/>
      </w:rPr>
    </w:lvl>
    <w:lvl w:ilvl="5">
      <w:start w:val="1"/>
      <w:numFmt w:val="decimal"/>
      <w:pStyle w:val="StepinAppendix"/>
      <w:lvlText w:val="Step %6"/>
      <w:lvlJc w:val="right"/>
      <w:pPr>
        <w:tabs>
          <w:tab w:val="num" w:pos="1701"/>
        </w:tabs>
        <w:ind w:left="1701" w:hanging="159"/>
      </w:pPr>
      <w:rPr>
        <w:rFonts w:ascii="Book Antiqua" w:hAnsi="Book Antiqua" w:cs="Times New Roman" w:hint="default"/>
        <w:b/>
        <w:bCs/>
        <w:i w:val="0"/>
        <w:iCs w:val="0"/>
        <w:sz w:val="21"/>
        <w:szCs w:val="21"/>
        <w:u w:val="none"/>
      </w:rPr>
    </w:lvl>
    <w:lvl w:ilvl="6">
      <w:start w:val="1"/>
      <w:numFmt w:val="decimal"/>
      <w:pStyle w:val="ItemStepinAppendix"/>
      <w:lvlText w:val="%7."/>
      <w:lvlJc w:val="left"/>
      <w:pPr>
        <w:tabs>
          <w:tab w:val="num" w:pos="2126"/>
        </w:tabs>
        <w:ind w:left="2126" w:hanging="425"/>
      </w:pPr>
      <w:rPr>
        <w:rFonts w:ascii="Times New Roman" w:hAnsi="Times New Roman" w:cs="Times New Roman" w:hint="default"/>
        <w:b w:val="0"/>
        <w:bCs/>
        <w:i w:val="0"/>
        <w:iCs w:val="0"/>
        <w:color w:val="auto"/>
        <w:sz w:val="21"/>
        <w:szCs w:val="21"/>
      </w:rPr>
    </w:lvl>
    <w:lvl w:ilvl="7">
      <w:start w:val="1"/>
      <w:numFmt w:val="decimal"/>
      <w:lvlRestart w:val="1"/>
      <w:pStyle w:val="FigureDescriptioninAppendix"/>
      <w:suff w:val="space"/>
      <w:lvlText w:val="Figure %1-%8"/>
      <w:lvlJc w:val="left"/>
      <w:pPr>
        <w:ind w:left="1701" w:firstLine="0"/>
      </w:pPr>
      <w:rPr>
        <w:rFonts w:ascii="Times New Roman" w:hAnsi="Times New Roman" w:cs="Book Antiqua" w:hint="default"/>
        <w:b/>
        <w:bCs/>
        <w:i w:val="0"/>
        <w:iCs w:val="0"/>
        <w:sz w:val="21"/>
        <w:szCs w:val="21"/>
        <w:u w:val="none"/>
      </w:rPr>
    </w:lvl>
    <w:lvl w:ilvl="8">
      <w:start w:val="1"/>
      <w:numFmt w:val="decimal"/>
      <w:lvlRestart w:val="1"/>
      <w:pStyle w:val="TableDescriptioninAppendix"/>
      <w:suff w:val="space"/>
      <w:lvlText w:val="Table %1-%9"/>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abstractNum>
  <w:abstractNum w:abstractNumId="26">
    <w:nsid w:val="667437AC"/>
    <w:multiLevelType w:val="hybridMultilevel"/>
    <w:tmpl w:val="DE3895E6"/>
    <w:lvl w:ilvl="0">
      <w:start w:val="1"/>
      <w:numFmt w:val="bullet"/>
      <w:pStyle w:val="NotesTextList"/>
      <w:lvlText w:val=""/>
      <w:lvlJc w:val="left"/>
      <w:pPr>
        <w:tabs>
          <w:tab w:val="num" w:pos="2359"/>
        </w:tabs>
        <w:ind w:left="2359" w:hanging="284"/>
      </w:pPr>
      <w:rPr>
        <w:rFonts w:ascii="Wingdings" w:hAnsi="Wingdings" w:cs="Wingdings" w:hint="default"/>
        <w:position w:val="1"/>
        <w:sz w:val="13"/>
        <w:szCs w:val="13"/>
        <w:effect w:val="none"/>
      </w:rPr>
    </w:lvl>
    <w:lvl w:ilvl="1" w:tentative="1">
      <w:start w:val="1"/>
      <w:numFmt w:val="bullet"/>
      <w:lvlText w:val=""/>
      <w:lvlJc w:val="left"/>
      <w:pPr>
        <w:tabs>
          <w:tab w:val="num" w:pos="840"/>
        </w:tabs>
        <w:ind w:left="840" w:hanging="420"/>
      </w:pPr>
      <w:rPr>
        <w:rFonts w:ascii="Wingdings" w:hAnsi="Wingdings" w:hint="default"/>
      </w:rPr>
    </w:lvl>
    <w:lvl w:ilvl="2" w:tentative="1">
      <w:start w:val="1"/>
      <w:numFmt w:val="bullet"/>
      <w:lvlText w:val=""/>
      <w:lvlJc w:val="left"/>
      <w:pPr>
        <w:tabs>
          <w:tab w:val="num" w:pos="1260"/>
        </w:tabs>
        <w:ind w:left="1260" w:hanging="420"/>
      </w:pPr>
      <w:rPr>
        <w:rFonts w:ascii="Wingdings" w:hAnsi="Wingdings" w:hint="default"/>
      </w:rPr>
    </w:lvl>
    <w:lvl w:ilvl="3" w:tentative="1">
      <w:start w:val="1"/>
      <w:numFmt w:val="bullet"/>
      <w:lvlText w:val=""/>
      <w:lvlJc w:val="left"/>
      <w:pPr>
        <w:tabs>
          <w:tab w:val="num" w:pos="1680"/>
        </w:tabs>
        <w:ind w:left="1680" w:hanging="420"/>
      </w:pPr>
      <w:rPr>
        <w:rFonts w:ascii="Wingdings" w:hAnsi="Wingdings" w:hint="default"/>
      </w:rPr>
    </w:lvl>
    <w:lvl w:ilvl="4" w:tentative="1">
      <w:start w:val="1"/>
      <w:numFmt w:val="bullet"/>
      <w:lvlText w:val=""/>
      <w:lvlJc w:val="left"/>
      <w:pPr>
        <w:tabs>
          <w:tab w:val="num" w:pos="2100"/>
        </w:tabs>
        <w:ind w:left="2100" w:hanging="420"/>
      </w:pPr>
      <w:rPr>
        <w:rFonts w:ascii="Wingdings" w:hAnsi="Wingdings" w:hint="default"/>
      </w:rPr>
    </w:lvl>
    <w:lvl w:ilvl="5" w:tentative="1">
      <w:start w:val="1"/>
      <w:numFmt w:val="bullet"/>
      <w:lvlText w:val=""/>
      <w:lvlJc w:val="left"/>
      <w:pPr>
        <w:tabs>
          <w:tab w:val="num" w:pos="2520"/>
        </w:tabs>
        <w:ind w:left="2520" w:hanging="420"/>
      </w:pPr>
      <w:rPr>
        <w:rFonts w:ascii="Wingdings" w:hAnsi="Wingdings" w:hint="default"/>
      </w:rPr>
    </w:lvl>
    <w:lvl w:ilvl="6" w:tentative="1">
      <w:start w:val="1"/>
      <w:numFmt w:val="bullet"/>
      <w:lvlText w:val=""/>
      <w:lvlJc w:val="left"/>
      <w:pPr>
        <w:tabs>
          <w:tab w:val="num" w:pos="2940"/>
        </w:tabs>
        <w:ind w:left="2940" w:hanging="420"/>
      </w:pPr>
      <w:rPr>
        <w:rFonts w:ascii="Wingdings" w:hAnsi="Wingdings" w:hint="default"/>
      </w:rPr>
    </w:lvl>
    <w:lvl w:ilvl="7" w:tentative="1">
      <w:start w:val="1"/>
      <w:numFmt w:val="bullet"/>
      <w:lvlText w:val=""/>
      <w:lvlJc w:val="left"/>
      <w:pPr>
        <w:tabs>
          <w:tab w:val="num" w:pos="3360"/>
        </w:tabs>
        <w:ind w:left="3360" w:hanging="420"/>
      </w:pPr>
      <w:rPr>
        <w:rFonts w:ascii="Wingdings" w:hAnsi="Wingdings" w:hint="default"/>
      </w:rPr>
    </w:lvl>
    <w:lvl w:ilvl="8" w:tentative="1">
      <w:start w:val="1"/>
      <w:numFmt w:val="bullet"/>
      <w:lvlText w:val=""/>
      <w:lvlJc w:val="left"/>
      <w:pPr>
        <w:tabs>
          <w:tab w:val="num" w:pos="3780"/>
        </w:tabs>
        <w:ind w:left="3780" w:hanging="420"/>
      </w:pPr>
      <w:rPr>
        <w:rFonts w:ascii="Wingdings" w:hAnsi="Wingdings" w:hint="default"/>
      </w:rPr>
    </w:lvl>
  </w:abstractNum>
  <w:abstractNum w:abstractNumId="27">
    <w:nsid w:val="6C066CFC"/>
    <w:multiLevelType w:val="multilevel"/>
    <w:tmpl w:val="0409001D"/>
    <w:styleLink w:val="1ai"/>
    <w:lvl w:ilvl="0">
      <w:start w:val="1"/>
      <w:numFmt w:val="decimal"/>
      <w:lvlText w:val="%1"/>
      <w:lvlJc w:val="left"/>
      <w:pPr>
        <w:tabs>
          <w:tab w:val="num" w:pos="425"/>
        </w:tabs>
        <w:ind w:left="425" w:hanging="425"/>
      </w:pPr>
    </w:lvl>
    <w:lvl w:ilvl="1">
      <w:start w:val="1"/>
      <w:numFmt w:val="decimal"/>
      <w:lvlText w:val="%1.%2"/>
      <w:lvlJc w:val="left"/>
      <w:pPr>
        <w:tabs>
          <w:tab w:val="num" w:pos="992"/>
        </w:tabs>
        <w:ind w:left="992" w:hanging="567"/>
      </w:pPr>
    </w:lvl>
    <w:lvl w:ilvl="2">
      <w:start w:val="1"/>
      <w:numFmt w:val="decimal"/>
      <w:lvlText w:val="%1.%2.%3"/>
      <w:lvlJc w:val="left"/>
      <w:pPr>
        <w:tabs>
          <w:tab w:val="num" w:pos="1418"/>
        </w:tabs>
        <w:ind w:left="1418" w:hanging="567"/>
      </w:pPr>
    </w:lvl>
    <w:lvl w:ilvl="3">
      <w:start w:val="1"/>
      <w:numFmt w:val="decimal"/>
      <w:lvlText w:val="%1.%2.%3.%4"/>
      <w:lvlJc w:val="left"/>
      <w:pPr>
        <w:tabs>
          <w:tab w:val="num" w:pos="1984"/>
        </w:tabs>
        <w:ind w:left="1984" w:hanging="708"/>
      </w:pPr>
    </w:lvl>
    <w:lvl w:ilvl="4">
      <w:start w:val="1"/>
      <w:numFmt w:val="decimal"/>
      <w:lvlText w:val="%1.%2.%3.%4.%5"/>
      <w:lvlJc w:val="left"/>
      <w:pPr>
        <w:tabs>
          <w:tab w:val="num" w:pos="2551"/>
        </w:tabs>
        <w:ind w:left="2551" w:hanging="850"/>
      </w:pPr>
    </w:lvl>
    <w:lvl w:ilvl="5">
      <w:start w:val="1"/>
      <w:numFmt w:val="decimal"/>
      <w:lvlText w:val="%1.%2.%3.%4.%5.%6"/>
      <w:lvlJc w:val="left"/>
      <w:pPr>
        <w:tabs>
          <w:tab w:val="num" w:pos="3260"/>
        </w:tabs>
        <w:ind w:left="3260" w:hanging="1134"/>
      </w:pPr>
    </w:lvl>
    <w:lvl w:ilvl="6">
      <w:start w:val="1"/>
      <w:numFmt w:val="decimal"/>
      <w:lvlText w:val="%1.%2.%3.%4.%5.%6.%7"/>
      <w:lvlJc w:val="left"/>
      <w:pPr>
        <w:tabs>
          <w:tab w:val="num" w:pos="3827"/>
        </w:tabs>
        <w:ind w:left="3827" w:hanging="1276"/>
      </w:pPr>
    </w:lvl>
    <w:lvl w:ilvl="7">
      <w:start w:val="1"/>
      <w:numFmt w:val="decimal"/>
      <w:lvlText w:val="%1.%2.%3.%4.%5.%6.%7.%8"/>
      <w:lvlJc w:val="left"/>
      <w:pPr>
        <w:tabs>
          <w:tab w:val="num" w:pos="4394"/>
        </w:tabs>
        <w:ind w:left="4394" w:hanging="1418"/>
      </w:pPr>
    </w:lvl>
    <w:lvl w:ilvl="8">
      <w:start w:val="1"/>
      <w:numFmt w:val="decimal"/>
      <w:lvlText w:val="%1.%2.%3.%4.%5.%6.%7.%8.%9"/>
      <w:lvlJc w:val="left"/>
      <w:pPr>
        <w:tabs>
          <w:tab w:val="num" w:pos="5102"/>
        </w:tabs>
        <w:ind w:left="5102" w:hanging="1700"/>
      </w:pPr>
    </w:lvl>
  </w:abstractNum>
  <w:abstractNum w:abstractNumId="28">
    <w:nsid w:val="6E230785"/>
    <w:multiLevelType w:val="hybridMultilevel"/>
    <w:tmpl w:val="21BCB028"/>
    <w:lvl w:ilvl="0">
      <w:start w:val="1"/>
      <w:numFmt w:val="bullet"/>
      <w:pStyle w:val="ItemListinTable"/>
      <w:lvlText w:val=""/>
      <w:lvlJc w:val="left"/>
      <w:pPr>
        <w:tabs>
          <w:tab w:val="num" w:pos="170"/>
        </w:tabs>
        <w:ind w:left="170" w:hanging="170"/>
      </w:pPr>
      <w:rPr>
        <w:rFonts w:ascii="Wingdings" w:eastAsia="宋体" w:hAnsi="Wingdings" w:hint="default"/>
        <w:b w:val="0"/>
        <w:i w:val="0"/>
        <w:color w:val="auto"/>
        <w:position w:val="3"/>
        <w:sz w:val="13"/>
        <w:szCs w:val="13"/>
      </w:rPr>
    </w:lvl>
    <w:lvl w:ilvl="1">
      <w:start w:val="1"/>
      <w:numFmt w:val="lowerLetter"/>
      <w:pStyle w:val="SubItemStepinTable"/>
      <w:lvlText w:val="%2."/>
      <w:lvlJc w:val="left"/>
      <w:pPr>
        <w:tabs>
          <w:tab w:val="num" w:pos="284"/>
        </w:tabs>
        <w:ind w:left="568" w:hanging="284"/>
      </w:pPr>
      <w:rPr>
        <w:rFonts w:ascii="Times New Roman" w:hAnsi="Times New Roman" w:cs="Book Antiqua" w:hint="default"/>
        <w:b w:val="0"/>
        <w:bCs/>
        <w:i w:val="0"/>
        <w:iCs w:val="0"/>
        <w:sz w:val="21"/>
        <w:szCs w:val="21"/>
        <w:u w:val="none"/>
      </w:rPr>
    </w:lvl>
    <w:lvl w:ilvl="2">
      <w:start w:val="1"/>
      <w:numFmt w:val="bullet"/>
      <w:pStyle w:val="SubItemListinTable"/>
      <w:lvlText w:val="−"/>
      <w:lvlJc w:val="left"/>
      <w:pPr>
        <w:tabs>
          <w:tab w:val="num" w:pos="568"/>
        </w:tabs>
        <w:ind w:left="568" w:hanging="284"/>
      </w:pPr>
      <w:rPr>
        <w:rFonts w:ascii="Times New Roman" w:hAnsi="Times New Roman" w:cs="Times New Roman" w:hint="default"/>
        <w:sz w:val="16"/>
        <w:szCs w:val="16"/>
      </w:rPr>
    </w:lvl>
    <w:lvl w:ilvl="3">
      <w:start w:val="1"/>
      <w:numFmt w:val="decimal"/>
      <w:pStyle w:val="SubItemStepinTableList"/>
      <w:lvlText w:val="%4."/>
      <w:lvlJc w:val="left"/>
      <w:pPr>
        <w:tabs>
          <w:tab w:val="num" w:pos="284"/>
        </w:tabs>
        <w:ind w:left="568" w:hanging="284"/>
      </w:pPr>
      <w:rPr>
        <w:rFonts w:ascii="Times New Roman" w:hAnsi="Times New Roman" w:cs="Book Antiqua" w:hint="default"/>
        <w:b w:val="0"/>
        <w:bCs/>
        <w:i w:val="0"/>
        <w:iCs w:val="0"/>
        <w:sz w:val="21"/>
        <w:szCs w:val="21"/>
        <w:u w:val="none"/>
      </w:rPr>
    </w:lvl>
    <w:lvl w:ilvl="4">
      <w:start w:val="1"/>
      <w:numFmt w:val="bullet"/>
      <w:pStyle w:val="SubItemListinTableStep"/>
      <w:lvlText w:val=""/>
      <w:lvlJc w:val="left"/>
      <w:pPr>
        <w:tabs>
          <w:tab w:val="num" w:pos="568"/>
        </w:tabs>
        <w:ind w:left="568" w:hanging="284"/>
      </w:pPr>
      <w:rPr>
        <w:rFonts w:ascii="Wingdings" w:eastAsia="宋体" w:hAnsi="Wingdings" w:hint="default"/>
        <w:b w:val="0"/>
        <w:i w:val="0"/>
        <w:color w:val="auto"/>
        <w:position w:val="3"/>
        <w:sz w:val="13"/>
        <w:szCs w:val="13"/>
      </w:rPr>
    </w:lvl>
    <w:lvl w:ilvl="5">
      <w:start w:val="1"/>
      <w:numFmt w:val="decimal"/>
      <w:pStyle w:val="CAUTIONTextStep"/>
      <w:lvlText w:val="%6."/>
      <w:lvlJc w:val="left"/>
      <w:pPr>
        <w:tabs>
          <w:tab w:val="num" w:pos="1985"/>
        </w:tabs>
        <w:ind w:left="1985" w:hanging="284"/>
      </w:pPr>
      <w:rPr>
        <w:rFonts w:ascii="Times New Roman" w:hAnsi="Times New Roman" w:cs="Book Antiqua" w:hint="default"/>
        <w:color w:val="auto"/>
        <w:spacing w:val="0"/>
        <w:w w:val="100"/>
        <w:position w:val="1"/>
        <w:sz w:val="21"/>
        <w:szCs w:val="21"/>
      </w:rPr>
    </w:lvl>
    <w:lvl w:ilvl="6">
      <w:start w:val="1"/>
      <w:numFmt w:val="decimal"/>
      <w:pStyle w:val="NotesTextStep"/>
      <w:lvlText w:val="%7."/>
      <w:lvlJc w:val="left"/>
      <w:pPr>
        <w:tabs>
          <w:tab w:val="num" w:pos="2359"/>
        </w:tabs>
        <w:ind w:left="2359" w:hanging="284"/>
      </w:pPr>
      <w:rPr>
        <w:rFonts w:ascii="Times New Roman" w:hAnsi="Times New Roman" w:cs="Book Antiqua" w:hint="default"/>
        <w:color w:val="auto"/>
        <w:spacing w:val="0"/>
        <w:w w:val="100"/>
        <w:position w:val="1"/>
        <w:sz w:val="18"/>
        <w:szCs w:val="18"/>
      </w:rPr>
    </w:lvl>
    <w:lvl w:ilvl="7">
      <w:start w:val="1"/>
      <w:numFmt w:val="decimal"/>
      <w:pStyle w:val="NotesTextStepinTable"/>
      <w:lvlText w:val="%8."/>
      <w:lvlJc w:val="left"/>
      <w:pPr>
        <w:tabs>
          <w:tab w:val="num" w:pos="454"/>
        </w:tabs>
        <w:ind w:left="454" w:hanging="284"/>
      </w:pPr>
      <w:rPr>
        <w:rFonts w:ascii="Times New Roman" w:hAnsi="Times New Roman" w:cs="Book Antiqua" w:hint="default"/>
        <w:color w:val="auto"/>
        <w:spacing w:val="0"/>
        <w:w w:val="100"/>
        <w:position w:val="1"/>
        <w:sz w:val="18"/>
        <w:szCs w:val="18"/>
      </w:rPr>
    </w:lvl>
    <w:lvl w:ilvl="8" w:tentative="1">
      <w:start w:val="1"/>
      <w:numFmt w:val="bullet"/>
      <w:lvlText w:val=""/>
      <w:lvlJc w:val="left"/>
      <w:pPr>
        <w:tabs>
          <w:tab w:val="num" w:pos="3780"/>
        </w:tabs>
        <w:ind w:left="3780" w:hanging="420"/>
      </w:pPr>
      <w:rPr>
        <w:rFonts w:ascii="Wingdings" w:hAnsi="Wingdings" w:hint="default"/>
      </w:rPr>
    </w:lvl>
  </w:abstractNum>
  <w:abstractNum w:abstractNumId="29">
    <w:nsid w:val="70246594"/>
    <w:multiLevelType w:val="multilevel"/>
    <w:tmpl w:val="C83423D0"/>
    <w:lvl w:ilvl="0">
      <w:start w:val="1"/>
      <w:numFmt w:val="decimal"/>
      <w:suff w:val="nothing"/>
      <w:lvlText w:val="%1 "/>
      <w:lvlJc w:val="left"/>
      <w:pPr>
        <w:ind w:left="0" w:firstLine="0"/>
      </w:pPr>
      <w:rPr>
        <w:rFonts w:ascii="Book Antiqua" w:eastAsia="黑体"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eastAsia="黑体"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upperRoman"/>
      <w:suff w:val="nothing"/>
      <w:lvlText w:val="%5. "/>
      <w:lvlJc w:val="left"/>
      <w:pPr>
        <w:ind w:left="1702" w:hanging="227"/>
      </w:pPr>
      <w:rPr>
        <w:rFonts w:ascii="Times New Roman" w:eastAsia="黑体" w:hAnsi="Times New Roman" w:cs="Times New Roman" w:hint="default"/>
        <w:b/>
        <w:bCs/>
        <w:i w:val="0"/>
        <w:iCs w:val="0"/>
        <w:sz w:val="24"/>
        <w:szCs w:val="24"/>
        <w:u w:val="none"/>
      </w:rPr>
    </w:lvl>
    <w:lvl w:ilvl="5">
      <w:start w:val="1"/>
      <w:numFmt w:val="decimal"/>
      <w:lvlText w:val="Step %6"/>
      <w:lvlJc w:val="right"/>
      <w:pPr>
        <w:tabs>
          <w:tab w:val="num" w:pos="1701"/>
        </w:tabs>
        <w:ind w:left="1701" w:hanging="159"/>
      </w:pPr>
      <w:rPr>
        <w:rFonts w:ascii="Book Antiqua" w:hAnsi="Book Antiqua" w:cs="Times New Roman" w:hint="default"/>
        <w:b/>
        <w:bCs/>
        <w:i w:val="0"/>
        <w:iCs w:val="0"/>
        <w:color w:val="auto"/>
        <w:sz w:val="21"/>
        <w:szCs w:val="21"/>
      </w:rPr>
    </w:lvl>
    <w:lvl w:ilvl="6">
      <w:start w:val="1"/>
      <w:numFmt w:val="decimal"/>
      <w:lvlText w:val="%7."/>
      <w:lvlJc w:val="left"/>
      <w:pPr>
        <w:tabs>
          <w:tab w:val="num" w:pos="2126"/>
        </w:tabs>
        <w:ind w:left="2126" w:hanging="425"/>
      </w:pPr>
      <w:rPr>
        <w:rFonts w:ascii="Times New Roman" w:hAnsi="Times New Roman" w:cs="Book Antiqua" w:hint="default"/>
        <w:b w:val="0"/>
        <w:bCs/>
        <w:i w:val="0"/>
        <w:iCs w:val="0"/>
        <w:sz w:val="21"/>
        <w:szCs w:val="21"/>
        <w:u w:val="none"/>
      </w:rPr>
    </w:lvl>
    <w:lvl w:ilvl="7">
      <w:start w:val="1"/>
      <w:numFmt w:val="decimal"/>
      <w:lvlRestart w:val="1"/>
      <w:suff w:val="space"/>
      <w:lvlText w:val="Figur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decimal"/>
      <w:lvlRestart w:val="1"/>
      <w:suff w:val="space"/>
      <w:lvlText w:val="Table %1-%9"/>
      <w:lvlJc w:val="left"/>
      <w:pPr>
        <w:ind w:left="1701" w:firstLine="0"/>
      </w:pPr>
      <w:rPr>
        <w:rFonts w:ascii="Times New Roman" w:eastAsia="黑体" w:hAnsi="Times New Roman" w:hint="default"/>
        <w:b/>
        <w:bCs/>
        <w:i w:val="0"/>
        <w:iCs w:val="0"/>
        <w:color w:val="auto"/>
        <w:sz w:val="21"/>
        <w:szCs w:val="21"/>
      </w:rPr>
    </w:lvl>
  </w:abstractNum>
  <w:abstractNum w:abstractNumId="30">
    <w:nsid w:val="78F51FEC"/>
    <w:multiLevelType w:val="multilevel"/>
    <w:tmpl w:val="697E5E88"/>
    <w:lvl w:ilvl="0">
      <w:start w:val="1"/>
      <w:numFmt w:val="upperLetter"/>
      <w:suff w:val="nothing"/>
      <w:lvlText w:val="%1 "/>
      <w:lvlJc w:val="left"/>
      <w:pPr>
        <w:ind w:left="0" w:firstLine="0"/>
      </w:pPr>
      <w:rPr>
        <w:rFonts w:ascii="Book Antiqua" w:hAnsi="Book Antiqua" w:cs="Book Antiqua" w:hint="default"/>
        <w:b/>
        <w:bCs/>
        <w:i w:val="0"/>
        <w:iCs w:val="0"/>
        <w:caps w:val="0"/>
        <w:strike w:val="0"/>
        <w:dstrike w:val="0"/>
        <w:outline w:val="0"/>
        <w:shadow w:val="0"/>
        <w:emboss w:val="0"/>
        <w:imprint w:val="0"/>
        <w:vanish w:val="0"/>
        <w:color w:val="000000"/>
        <w:sz w:val="144"/>
        <w:szCs w:val="144"/>
        <w:vertAlign w:val="baseline"/>
      </w:rPr>
    </w:lvl>
    <w:lvl w:ilvl="1">
      <w:start w:val="1"/>
      <w:numFmt w:val="decimal"/>
      <w:suff w:val="nothing"/>
      <w:lvlText w:val="%1.%2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spacing w:val="0"/>
        <w:kern w:val="0"/>
        <w:sz w:val="36"/>
        <w:szCs w:val="36"/>
        <w:vertAlign w:val="baseline"/>
      </w:rPr>
    </w:lvl>
    <w:lvl w:ilvl="2">
      <w:start w:val="1"/>
      <w:numFmt w:val="decimal"/>
      <w:suff w:val="nothing"/>
      <w:lvlText w:val="%1.%2.%3  "/>
      <w:lvlJc w:val="left"/>
      <w:pPr>
        <w:ind w:left="0" w:firstLine="0"/>
      </w:pPr>
      <w:rPr>
        <w:rFonts w:ascii="Book Antiqua" w:hAnsi="Book Antiqua" w:cs="Book Antiqua" w:hint="default"/>
        <w:b/>
        <w:bCs/>
        <w:i w:val="0"/>
        <w:iCs w:val="0"/>
        <w:caps w:val="0"/>
        <w:strike w:val="0"/>
        <w:dstrike w:val="0"/>
        <w:outline w:val="0"/>
        <w:shadow w:val="0"/>
        <w:emboss w:val="0"/>
        <w:imprint w:val="0"/>
        <w:snapToGrid w:val="0"/>
        <w:vanish w:val="0"/>
        <w:kern w:val="0"/>
        <w:sz w:val="32"/>
        <w:szCs w:val="32"/>
        <w:vertAlign w:val="baseline"/>
      </w:rPr>
    </w:lvl>
    <w:lvl w:ilvl="3">
      <w:start w:val="1"/>
      <w:numFmt w:val="none"/>
      <w:suff w:val="nothing"/>
      <w:lvlJc w:val="left"/>
      <w:pPr>
        <w:ind w:left="0" w:firstLine="0"/>
      </w:pPr>
      <w:rPr>
        <w:rFonts w:ascii="Arial" w:hAnsi="Arial" w:cs="Arial" w:hint="default"/>
        <w:b/>
        <w:bCs/>
        <w:i w:val="0"/>
        <w:iCs w:val="0"/>
        <w:caps w:val="0"/>
        <w:strike w:val="0"/>
        <w:dstrike w:val="0"/>
        <w:outline w:val="0"/>
        <w:shadow w:val="0"/>
        <w:emboss w:val="0"/>
        <w:imprint w:val="0"/>
        <w:vanish w:val="0"/>
        <w:sz w:val="20"/>
        <w:szCs w:val="20"/>
        <w:vertAlign w:val="baseline"/>
      </w:rPr>
    </w:lvl>
    <w:lvl w:ilvl="4">
      <w:start w:val="1"/>
      <w:numFmt w:val="decimal"/>
      <w:lvlText w:val="Step %5"/>
      <w:lvlJc w:val="right"/>
      <w:pPr>
        <w:tabs>
          <w:tab w:val="num" w:pos="1701"/>
        </w:tabs>
        <w:ind w:left="1701" w:hanging="159"/>
      </w:pPr>
      <w:rPr>
        <w:rFonts w:ascii="Book Antiqua" w:hAnsi="Book Antiqua" w:cs="Times New Roman" w:hint="default"/>
        <w:b/>
        <w:bCs/>
        <w:i w:val="0"/>
        <w:iCs w:val="0"/>
        <w:sz w:val="21"/>
        <w:szCs w:val="21"/>
        <w:u w:val="none"/>
      </w:rPr>
    </w:lvl>
    <w:lvl w:ilvl="5">
      <w:start w:val="1"/>
      <w:numFmt w:val="decimal"/>
      <w:lvlText w:val="%6."/>
      <w:lvlJc w:val="left"/>
      <w:pPr>
        <w:tabs>
          <w:tab w:val="num" w:pos="2126"/>
        </w:tabs>
        <w:ind w:left="2126" w:hanging="425"/>
      </w:pPr>
      <w:rPr>
        <w:rFonts w:ascii="Times New Roman" w:hAnsi="Times New Roman" w:cs="Times New Roman" w:hint="default"/>
        <w:b w:val="0"/>
        <w:bCs/>
        <w:i w:val="0"/>
        <w:iCs w:val="0"/>
        <w:color w:val="auto"/>
        <w:sz w:val="21"/>
        <w:szCs w:val="21"/>
      </w:rPr>
    </w:lvl>
    <w:lvl w:ilvl="6">
      <w:start w:val="1"/>
      <w:numFmt w:val="decimal"/>
      <w:lvlRestart w:val="1"/>
      <w:suff w:val="space"/>
      <w:lvlText w:val="Figure %1-%7"/>
      <w:lvlJc w:val="left"/>
      <w:pPr>
        <w:ind w:left="1701" w:firstLine="0"/>
      </w:pPr>
      <w:rPr>
        <w:rFonts w:ascii="Times New Roman" w:hAnsi="Times New Roman" w:cs="Book Antiqua" w:hint="default"/>
        <w:b/>
        <w:bCs/>
        <w:i w:val="0"/>
        <w:iCs w:val="0"/>
        <w:sz w:val="21"/>
        <w:szCs w:val="21"/>
        <w:u w:val="none"/>
      </w:rPr>
    </w:lvl>
    <w:lvl w:ilvl="7">
      <w:start w:val="1"/>
      <w:numFmt w:val="decimal"/>
      <w:lvlRestart w:val="1"/>
      <w:suff w:val="space"/>
      <w:lvlText w:val="Table %1-%8"/>
      <w:lvlJc w:val="left"/>
      <w:pPr>
        <w:ind w:left="1701" w:firstLine="0"/>
      </w:pPr>
      <w:rPr>
        <w:rFonts w:ascii="Times New Roman" w:hAnsi="Times New Roman" w:cs="Book Antiqua" w:hint="default"/>
        <w:b/>
        <w:bCs/>
        <w:i w:val="0"/>
        <w:iCs w:val="0"/>
        <w:strike w:val="0"/>
        <w:dstrike w:val="0"/>
        <w:outline w:val="0"/>
        <w:shadow w:val="0"/>
        <w:emboss w:val="0"/>
        <w:imprint w:val="0"/>
        <w:color w:val="auto"/>
        <w:sz w:val="21"/>
        <w:szCs w:val="21"/>
        <w:vertAlign w:val="baseline"/>
      </w:rPr>
    </w:lvl>
    <w:lvl w:ilvl="8">
      <w:start w:val="1"/>
      <w:numFmt w:val="none"/>
      <w:suff w:val="nothing"/>
      <w:lvlJc w:val="left"/>
      <w:pPr>
        <w:ind w:left="0" w:firstLine="0"/>
      </w:pPr>
      <w:rPr>
        <w:rFonts w:ascii="Book Antiqua" w:eastAsia="宋体" w:hAnsi="Book Antiqua" w:hint="default"/>
        <w:b/>
        <w:bCs/>
        <w:i w:val="0"/>
        <w:iCs w:val="0"/>
        <w:color w:val="000000"/>
        <w:sz w:val="28"/>
        <w:szCs w:val="28"/>
      </w:rPr>
    </w:lvl>
  </w:abstractNum>
  <w:abstractNum w:abstractNumId="31">
    <w:nsid w:val="7C533DDE"/>
    <w:multiLevelType w:val="multilevel"/>
    <w:tmpl w:val="1A940A0E"/>
    <w:lvl w:ilvl="0">
      <w:start w:val="1"/>
      <w:numFmt w:val="decimal"/>
      <w:pStyle w:val="ItemStep"/>
      <w:lvlText w:val="%1."/>
      <w:lvlJc w:val="left"/>
      <w:pPr>
        <w:tabs>
          <w:tab w:val="num" w:pos="2126"/>
        </w:tabs>
        <w:ind w:left="2126" w:hanging="425"/>
      </w:pPr>
      <w:rPr>
        <w:rFonts w:ascii="Times New Roman" w:hAnsi="Times New Roman" w:cs="Book Antiqua" w:hint="default"/>
        <w:b w:val="0"/>
        <w:bCs/>
        <w:i w:val="0"/>
        <w:iCs w:val="0"/>
        <w:sz w:val="21"/>
        <w:szCs w:val="21"/>
        <w:u w:val="none"/>
      </w:rPr>
    </w:lvl>
    <w:lvl w:ilvl="1">
      <w:start w:val="1"/>
      <w:numFmt w:val="lowerLetter"/>
      <w:pStyle w:val="SubItemStep"/>
      <w:lvlText w:val="%2."/>
      <w:lvlJc w:val="left"/>
      <w:pPr>
        <w:tabs>
          <w:tab w:val="num" w:pos="2551"/>
        </w:tabs>
        <w:ind w:left="2551" w:hanging="425"/>
      </w:pPr>
      <w:rPr>
        <w:rFonts w:ascii="Times New Roman" w:hAnsi="Times New Roman" w:cs="Book Antiqua" w:hint="default"/>
        <w:b w:val="0"/>
        <w:bCs/>
        <w:i w:val="0"/>
        <w:iCs w:val="0"/>
        <w:sz w:val="21"/>
        <w:szCs w:val="21"/>
        <w:u w:val="none"/>
      </w:rPr>
    </w:lvl>
    <w:lvl w:ilvl="2">
      <w:start w:val="1"/>
      <w:numFmt w:val="lowerRoman"/>
      <w:pStyle w:val="ThirdLevelItemStep"/>
      <w:lvlText w:val="%3."/>
      <w:lvlJc w:val="left"/>
      <w:pPr>
        <w:tabs>
          <w:tab w:val="num" w:pos="2976"/>
        </w:tabs>
        <w:ind w:left="2976" w:hanging="425"/>
      </w:pPr>
      <w:rPr>
        <w:rFonts w:ascii="Times New Roman" w:hAnsi="Times New Roman" w:cs="Book Antiqua" w:hint="default"/>
        <w:b w:val="0"/>
        <w:bCs/>
        <w:i w:val="0"/>
        <w:iCs w:val="0"/>
        <w:sz w:val="21"/>
        <w:szCs w:val="21"/>
        <w:u w:val="none"/>
      </w:rPr>
    </w:lvl>
    <w:lvl w:ilvl="3">
      <w:start w:val="1"/>
      <w:numFmt w:val="decimal"/>
      <w:pStyle w:val="FourthLevelItemStep"/>
      <w:lvlText w:val="%4)"/>
      <w:lvlJc w:val="left"/>
      <w:pPr>
        <w:tabs>
          <w:tab w:val="num" w:pos="3401"/>
        </w:tabs>
        <w:ind w:left="3401" w:hanging="425"/>
      </w:pPr>
      <w:rPr>
        <w:rFonts w:ascii="Times New Roman" w:hAnsi="Times New Roman" w:cs="Book Antiqua" w:hint="default"/>
        <w:b w:val="0"/>
        <w:bCs/>
        <w:i w:val="0"/>
        <w:iCs w:val="0"/>
        <w:sz w:val="21"/>
        <w:szCs w:val="21"/>
        <w:u w:val="none"/>
      </w:rPr>
    </w:lvl>
    <w:lvl w:ilvl="4">
      <w:start w:val="1"/>
      <w:numFmt w:val="bullet"/>
      <w:lvlText w:val=""/>
      <w:lvlJc w:val="left"/>
      <w:pPr>
        <w:tabs>
          <w:tab w:val="num" w:pos="1260"/>
        </w:tabs>
        <w:ind w:left="1260" w:hanging="420"/>
      </w:pPr>
      <w:rPr>
        <w:rFonts w:ascii="Wingdings" w:hAnsi="Wingdings" w:hint="default"/>
      </w:rPr>
    </w:lvl>
    <w:lvl w:ilvl="5">
      <w:start w:val="1"/>
      <w:numFmt w:val="bullet"/>
      <w:lvlText w:val=""/>
      <w:lvlJc w:val="left"/>
      <w:pPr>
        <w:tabs>
          <w:tab w:val="num" w:pos="1680"/>
        </w:tabs>
        <w:ind w:left="1680" w:hanging="420"/>
      </w:pPr>
      <w:rPr>
        <w:rFonts w:ascii="Wingdings" w:hAnsi="Wingdings" w:hint="default"/>
      </w:rPr>
    </w:lvl>
    <w:lvl w:ilvl="6">
      <w:start w:val="1"/>
      <w:numFmt w:val="bullet"/>
      <w:lvlText w:val=""/>
      <w:lvlJc w:val="left"/>
      <w:pPr>
        <w:tabs>
          <w:tab w:val="num" w:pos="2100"/>
        </w:tabs>
        <w:ind w:left="2100" w:hanging="420"/>
      </w:pPr>
      <w:rPr>
        <w:rFonts w:ascii="Wingdings" w:hAnsi="Wingdings" w:hint="default"/>
      </w:rPr>
    </w:lvl>
    <w:lvl w:ilvl="7">
      <w:start w:val="1"/>
      <w:numFmt w:val="bullet"/>
      <w:lvlText w:val=""/>
      <w:lvlJc w:val="left"/>
      <w:pPr>
        <w:tabs>
          <w:tab w:val="num" w:pos="2520"/>
        </w:tabs>
        <w:ind w:left="2520" w:hanging="420"/>
      </w:pPr>
      <w:rPr>
        <w:rFonts w:ascii="Wingdings" w:hAnsi="Wingdings" w:hint="default"/>
      </w:rPr>
    </w:lvl>
    <w:lvl w:ilvl="8">
      <w:start w:val="1"/>
      <w:numFmt w:val="decimal"/>
      <w:lvlRestart w:val="0"/>
      <w:pStyle w:val="ItemStepinTable"/>
      <w:lvlText w:val="%9."/>
      <w:lvlJc w:val="left"/>
      <w:pPr>
        <w:tabs>
          <w:tab w:val="num" w:pos="284"/>
        </w:tabs>
        <w:ind w:left="284" w:hanging="284"/>
      </w:pPr>
      <w:rPr>
        <w:rFonts w:hint="eastAsia"/>
      </w:rPr>
    </w:lvl>
  </w:abstractNum>
  <w:num w:numId="1">
    <w:abstractNumId w:val="11"/>
  </w:num>
  <w:num w:numId="2">
    <w:abstractNumId w:val="14"/>
  </w:num>
  <w:num w:numId="3">
    <w:abstractNumId w:val="2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20"/>
  </w:num>
  <w:num w:numId="15">
    <w:abstractNumId w:val="17"/>
  </w:num>
  <w:num w:numId="16">
    <w:abstractNumId w:val="27"/>
  </w:num>
  <w:num w:numId="17">
    <w:abstractNumId w:val="22"/>
  </w:num>
  <w:num w:numId="18">
    <w:abstractNumId w:val="28"/>
  </w:num>
  <w:num w:numId="19">
    <w:abstractNumId w:val="21"/>
  </w:num>
  <w:num w:numId="20">
    <w:abstractNumId w:val="12"/>
  </w:num>
  <w:num w:numId="21">
    <w:abstractNumId w:val="15"/>
  </w:num>
  <w:num w:numId="22">
    <w:abstractNumId w:val="23"/>
  </w:num>
  <w:num w:numId="23">
    <w:abstractNumId w:val="31"/>
  </w:num>
  <w:num w:numId="24">
    <w:abstractNumId w:val="13"/>
  </w:num>
  <w:num w:numId="25">
    <w:abstractNumId w:val="10"/>
  </w:num>
  <w:num w:numId="26">
    <w:abstractNumId w:val="16"/>
  </w:num>
  <w:num w:numId="27">
    <w:abstractNumId w:val="25"/>
  </w:num>
  <w:num w:numId="28">
    <w:abstractNumId w:val="29"/>
  </w:num>
  <w:num w:numId="29">
    <w:abstractNumId w:val="24"/>
  </w:num>
  <w:num w:numId="30">
    <w:abstractNumId w:val="24"/>
  </w:num>
  <w:num w:numId="31">
    <w:abstractNumId w:val="28"/>
  </w:num>
  <w:num w:numId="32">
    <w:abstractNumId w:val="24"/>
  </w:num>
  <w:num w:numId="33">
    <w:abstractNumId w:val="24"/>
  </w:num>
  <w:num w:numId="34">
    <w:abstractNumId w:val="24"/>
  </w:num>
  <w:num w:numId="35">
    <w:abstractNumId w:val="24"/>
  </w:num>
  <w:num w:numId="36">
    <w:abstractNumId w:val="24"/>
  </w:num>
  <w:num w:numId="37">
    <w:abstractNumId w:val="30"/>
  </w:num>
  <w:num w:numId="38">
    <w:abstractNumId w:val="24"/>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8"/>
  </w:num>
  <w:num w:numId="41">
    <w:abstractNumId w:val="19"/>
  </w:num>
  <w:num w:numId="4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formsDesign/>
  <w:defaultTabStop w:val="420"/>
  <w:drawingGridHorizontalSpacing w:val="105"/>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Word2002TableStyleRules/>
    <w:doNotUseIndentAsNumberingTabStop/>
    <w:autofitToFirstFixedWidthCell/>
    <w:splitPgBreakAndParaMark/>
    <w:doNotVertAlignCellWithSp/>
    <w:doNotVertAlignInTxbx/>
  </w:compat>
  <w:rsids>
    <w:rsidRoot w:val="00000000"/>
  </w:rsids>
  <w:uiCompat97To2003/>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en-US" w:bidi="ar-SA"/>
      </w:rPr>
    </w:rPrDefault>
    <w:pPrDefault/>
  </w:docDefaults>
  <w:latentStyles w:defLockedState="0" w:defUIPriority="0" w:defSemiHidden="0" w:defUnhideWhenUsed="0" w:defQFormat="0" w:count="156">
    <w:lsdException w:name="Normal"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itle" w:uiPriority="10" w:qFormat="1"/>
    <w:lsdException w:name="Default Paragraph Font" w:semiHidden="1" w:uiPriority="1" w:unhideWhenUsed="1"/>
    <w:lsdException w:name="Subtitle" w:uiPriority="11" w:qFormat="1"/>
    <w:lsdException w:name="Strong" w:uiPriority="22" w:qFormat="1"/>
    <w:lsdException w:name="Emphasis" w:uiPriority="20"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1025A"/>
    <w:pPr>
      <w:topLinePunct/>
      <w:adjustRightInd w:val="0"/>
      <w:snapToGrid w:val="0"/>
      <w:spacing w:before="160" w:after="160" w:line="240" w:lineRule="atLeast"/>
      <w:ind w:left="1701"/>
    </w:pPr>
    <w:rPr>
      <w:rFonts w:cs="Arial"/>
      <w:kern w:val="2"/>
      <w:sz w:val="21"/>
      <w:szCs w:val="21"/>
      <w:lang w:val="en-US" w:eastAsia="zh-CN" w:bidi="ar-SA"/>
    </w:rPr>
  </w:style>
  <w:style w:type="paragraph" w:styleId="Heading1">
    <w:name w:val="heading 1"/>
    <w:basedOn w:val="Normal"/>
    <w:next w:val="Heading2"/>
    <w:qFormat/>
    <w:rsid w:val="009502FF"/>
    <w:pPr>
      <w:keepNext/>
      <w:numPr>
        <w:numId w:val="2"/>
      </w:numPr>
      <w:pBdr>
        <w:bottom w:val="single" w:sz="12" w:space="1" w:color="auto"/>
      </w:pBdr>
      <w:spacing w:before="1600" w:after="800"/>
      <w:jc w:val="right"/>
      <w:outlineLvl w:val="0"/>
    </w:pPr>
    <w:rPr>
      <w:rFonts w:ascii="Book Antiqua" w:eastAsia="黑体" w:hAnsi="Book Antiqua" w:cs="Book Antiqua"/>
      <w:b/>
      <w:bCs/>
      <w:sz w:val="44"/>
      <w:szCs w:val="44"/>
    </w:rPr>
  </w:style>
  <w:style w:type="paragraph" w:styleId="Heading2">
    <w:name w:val="heading 2"/>
    <w:basedOn w:val="Normal"/>
    <w:next w:val="Heading3"/>
    <w:qFormat/>
    <w:rsid w:val="009502FF"/>
    <w:pPr>
      <w:keepNext/>
      <w:keepLines/>
      <w:numPr>
        <w:ilvl w:val="1"/>
        <w:numId w:val="2"/>
      </w:numPr>
      <w:spacing w:before="600"/>
      <w:outlineLvl w:val="1"/>
    </w:pPr>
    <w:rPr>
      <w:rFonts w:ascii="Book Antiqua" w:eastAsia="黑体" w:hAnsi="Book Antiqua" w:cs="Book Antiqua"/>
      <w:b/>
      <w:bCs/>
      <w:noProof/>
      <w:kern w:val="0"/>
      <w:sz w:val="36"/>
      <w:szCs w:val="36"/>
      <w:lang w:eastAsia="en-US"/>
    </w:rPr>
  </w:style>
  <w:style w:type="paragraph" w:styleId="Heading3">
    <w:name w:val="heading 3"/>
    <w:basedOn w:val="Normal"/>
    <w:next w:val="Normal"/>
    <w:qFormat/>
    <w:rsid w:val="009502FF"/>
    <w:pPr>
      <w:keepNext/>
      <w:keepLines/>
      <w:numPr>
        <w:ilvl w:val="2"/>
        <w:numId w:val="2"/>
      </w:numPr>
      <w:spacing w:before="200"/>
      <w:outlineLvl w:val="2"/>
    </w:pPr>
    <w:rPr>
      <w:rFonts w:ascii="Book Antiqua" w:eastAsia="黑体" w:hAnsi="Book Antiqua" w:cs="宋体"/>
      <w:b/>
      <w:noProof/>
      <w:kern w:val="0"/>
      <w:sz w:val="32"/>
      <w:szCs w:val="32"/>
    </w:rPr>
  </w:style>
  <w:style w:type="paragraph" w:styleId="Heading4">
    <w:name w:val="heading 4"/>
    <w:basedOn w:val="Normal"/>
    <w:next w:val="Normal"/>
    <w:qFormat/>
    <w:rsid w:val="009502FF"/>
    <w:pPr>
      <w:keepNext/>
      <w:keepLines/>
      <w:numPr>
        <w:ilvl w:val="3"/>
        <w:numId w:val="2"/>
      </w:numPr>
      <w:spacing w:before="200"/>
      <w:outlineLvl w:val="3"/>
    </w:pPr>
    <w:rPr>
      <w:rFonts w:ascii="Book Antiqua" w:eastAsia="黑体" w:hAnsi="Book Antiqua" w:cs="宋体"/>
      <w:b/>
      <w:noProof/>
      <w:kern w:val="0"/>
      <w:sz w:val="28"/>
      <w:szCs w:val="28"/>
    </w:rPr>
  </w:style>
  <w:style w:type="paragraph" w:styleId="Heading5">
    <w:name w:val="heading 5"/>
    <w:basedOn w:val="Normal"/>
    <w:next w:val="Normal"/>
    <w:qFormat/>
    <w:rsid w:val="00176DF9"/>
    <w:pPr>
      <w:keepNext/>
      <w:keepLines/>
      <w:numPr>
        <w:ilvl w:val="4"/>
        <w:numId w:val="2"/>
      </w:numPr>
      <w:spacing w:before="200"/>
      <w:outlineLvl w:val="4"/>
    </w:pPr>
    <w:rPr>
      <w:rFonts w:ascii="Book Antiqua" w:eastAsia="黑体" w:hAnsi="Book Antiqua" w:cs="宋体"/>
      <w:b/>
      <w:noProof/>
      <w:kern w:val="0"/>
      <w:sz w:val="24"/>
      <w:szCs w:val="24"/>
    </w:rPr>
  </w:style>
  <w:style w:type="paragraph" w:styleId="Heading6">
    <w:name w:val="heading 6"/>
    <w:basedOn w:val="Normal"/>
    <w:next w:val="Normal"/>
    <w:qFormat/>
    <w:rsid w:val="00176DF9"/>
    <w:pPr>
      <w:keepNext/>
      <w:keepLines/>
      <w:numPr>
        <w:ilvl w:val="8"/>
        <w:numId w:val="36"/>
      </w:numPr>
      <w:spacing w:before="240" w:after="64" w:line="320" w:lineRule="atLeast"/>
      <w:outlineLvl w:val="5"/>
    </w:pPr>
    <w:rPr>
      <w:rFonts w:ascii="Arial" w:eastAsia="黑体" w:hAnsi="Arial" w:cs="Times New Roman"/>
      <w:b/>
      <w:bCs/>
    </w:rPr>
  </w:style>
  <w:style w:type="paragraph" w:styleId="Heading7">
    <w:name w:val="heading 7"/>
    <w:basedOn w:val="Heading1"/>
    <w:next w:val="Heading8"/>
    <w:qFormat/>
    <w:rsid w:val="00F613A7"/>
    <w:pPr>
      <w:keepLines/>
      <w:numPr>
        <w:numId w:val="27"/>
      </w:numPr>
      <w:pBdr>
        <w:bottom w:val="single" w:sz="4" w:space="1" w:color="auto"/>
      </w:pBdr>
      <w:topLinePunct w:val="0"/>
      <w:outlineLvl w:val="6"/>
    </w:pPr>
    <w:rPr>
      <w:bCs w:val="0"/>
    </w:rPr>
  </w:style>
  <w:style w:type="paragraph" w:styleId="Heading8">
    <w:name w:val="heading 8"/>
    <w:basedOn w:val="Heading2"/>
    <w:next w:val="Heading9"/>
    <w:qFormat/>
    <w:rsid w:val="00F613A7"/>
    <w:pPr>
      <w:numPr>
        <w:ilvl w:val="1"/>
        <w:numId w:val="27"/>
      </w:numPr>
      <w:topLinePunct w:val="0"/>
      <w:spacing w:before="200"/>
      <w:outlineLvl w:val="7"/>
    </w:pPr>
    <w:rPr>
      <w:rFonts w:cs="Times New Roman"/>
    </w:rPr>
  </w:style>
  <w:style w:type="paragraph" w:styleId="Heading9">
    <w:name w:val="heading 9"/>
    <w:basedOn w:val="Heading3"/>
    <w:next w:val="Normal"/>
    <w:qFormat/>
    <w:rsid w:val="00F613A7"/>
    <w:pPr>
      <w:numPr>
        <w:ilvl w:val="2"/>
        <w:numId w:val="27"/>
      </w:numPr>
      <w:topLinePunct w:val="0"/>
      <w:outlineLvl w:val="8"/>
    </w:pPr>
    <w:rPr>
      <w:rFonts w:cs="Times New Roman"/>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NormalInTitlePage">
    <w:name w:val="Normal In Title Page"/>
    <w:rsid w:val="00243C13"/>
    <w:rPr>
      <w:rFonts w:ascii="Arial" w:hAnsi="Arial" w:cs="Arial"/>
      <w:kern w:val="2"/>
      <w:sz w:val="22"/>
      <w:szCs w:val="22"/>
      <w:lang w:val="en-US" w:eastAsia="zh-CN" w:bidi="ar-SA"/>
    </w:rPr>
  </w:style>
  <w:style w:type="paragraph" w:customStyle="1" w:styleId="TableTextInTitlePage">
    <w:name w:val="Table Text In Title Page"/>
    <w:rsid w:val="00243C13"/>
    <w:pPr>
      <w:autoSpaceDE w:val="0"/>
      <w:autoSpaceDN w:val="0"/>
      <w:spacing w:before="80" w:after="80"/>
      <w:jc w:val="left"/>
    </w:pPr>
    <w:rPr>
      <w:rFonts w:ascii="Arial" w:hAnsi="Arial" w:cs="Arial"/>
      <w:kern w:val="0"/>
      <w:sz w:val="20"/>
      <w:szCs w:val="20"/>
    </w:rPr>
  </w:style>
  <w:style w:type="paragraph" w:customStyle="1" w:styleId="Appendixheading1">
    <w:name w:val="Appendix heading 1"/>
    <w:basedOn w:val="Heading1"/>
    <w:next w:val="2"/>
    <w:rsid w:val="00F613A7"/>
    <w:pPr>
      <w:keepLines/>
      <w:numPr>
        <w:numId w:val="36"/>
      </w:numPr>
      <w:pBdr>
        <w:bottom w:val="single" w:sz="12" w:space="1" w:color="auto"/>
      </w:pBdr>
      <w:topLinePunct w:val="0"/>
      <w:outlineLvl w:val="0"/>
    </w:pPr>
    <w:rPr>
      <w:bCs w:val="0"/>
    </w:rPr>
  </w:style>
  <w:style w:type="paragraph" w:customStyle="1" w:styleId="2">
    <w:name w:val="附录 标题 2"/>
    <w:basedOn w:val="Heading2"/>
    <w:next w:val="3"/>
    <w:rsid w:val="00F613A7"/>
    <w:pPr>
      <w:numPr>
        <w:ilvl w:val="1"/>
        <w:numId w:val="36"/>
      </w:numPr>
      <w:topLinePunct w:val="0"/>
      <w:spacing w:before="200"/>
      <w:outlineLvl w:val="1"/>
    </w:pPr>
    <w:rPr>
      <w:rFonts w:cs="Times New Roman"/>
    </w:rPr>
  </w:style>
  <w:style w:type="paragraph" w:customStyle="1" w:styleId="3">
    <w:name w:val="附录 标题 3"/>
    <w:basedOn w:val="Heading3"/>
    <w:next w:val="4"/>
    <w:rsid w:val="00F613A7"/>
    <w:pPr>
      <w:numPr>
        <w:ilvl w:val="2"/>
        <w:numId w:val="36"/>
      </w:numPr>
      <w:topLinePunct w:val="0"/>
      <w:outlineLvl w:val="2"/>
    </w:pPr>
    <w:rPr>
      <w:rFonts w:cs="Times New Roman"/>
    </w:rPr>
  </w:style>
  <w:style w:type="paragraph" w:customStyle="1" w:styleId="4">
    <w:name w:val="附录 标题 4"/>
    <w:basedOn w:val="Heading4"/>
    <w:next w:val="5"/>
    <w:rsid w:val="00F613A7"/>
    <w:pPr>
      <w:numPr>
        <w:ilvl w:val="3"/>
        <w:numId w:val="36"/>
      </w:numPr>
      <w:topLinePunct w:val="0"/>
      <w:outlineLvl w:val="3"/>
    </w:pPr>
    <w:rPr>
      <w:rFonts w:cs="Times New Roman"/>
    </w:rPr>
  </w:style>
  <w:style w:type="paragraph" w:customStyle="1" w:styleId="5">
    <w:name w:val="附录 标题 5"/>
    <w:basedOn w:val="Heading5"/>
    <w:next w:val="Normal"/>
    <w:rsid w:val="00F613A7"/>
    <w:pPr>
      <w:numPr>
        <w:ilvl w:val="4"/>
        <w:numId w:val="36"/>
      </w:numPr>
      <w:topLinePunct w:val="0"/>
      <w:outlineLvl w:val="4"/>
    </w:pPr>
    <w:rPr>
      <w:rFonts w:cs="Times New Roman"/>
    </w:rPr>
  </w:style>
  <w:style w:type="paragraph" w:customStyle="1" w:styleId="BlockLabel">
    <w:name w:val="Block Label"/>
    <w:basedOn w:val="Normal"/>
    <w:next w:val="Normal"/>
    <w:rsid w:val="009502FF"/>
    <w:pPr>
      <w:keepNext/>
      <w:keepLines/>
      <w:numPr>
        <w:ilvl w:val="5"/>
        <w:numId w:val="2"/>
      </w:numPr>
      <w:spacing w:before="300" w:after="80"/>
    </w:pPr>
    <w:rPr>
      <w:rFonts w:ascii="Book Antiqua" w:eastAsia="黑体" w:hAnsi="Book Antiqua" w:cs="Book Antiqua"/>
      <w:b/>
      <w:bCs/>
      <w:kern w:val="0"/>
      <w:sz w:val="26"/>
      <w:szCs w:val="26"/>
    </w:rPr>
  </w:style>
  <w:style w:type="paragraph" w:customStyle="1" w:styleId="Subsection">
    <w:name w:val="Subsection"/>
    <w:basedOn w:val="Normal"/>
    <w:next w:val="Normal"/>
    <w:rsid w:val="009502FF"/>
    <w:pPr>
      <w:keepNext/>
      <w:keepLines/>
      <w:numPr>
        <w:ilvl w:val="5"/>
        <w:numId w:val="2"/>
      </w:numPr>
      <w:spacing w:before="300" w:after="80"/>
    </w:pPr>
    <w:rPr>
      <w:rFonts w:ascii="Book Antiqua" w:eastAsia="黑体" w:hAnsi="Book Antiqua" w:cs="Book Antiqua"/>
      <w:b/>
      <w:bCs/>
      <w:kern w:val="0"/>
      <w:sz w:val="22"/>
      <w:szCs w:val="22"/>
    </w:rPr>
  </w:style>
  <w:style w:type="paragraph" w:customStyle="1" w:styleId="BlockLabelWithSixNumber">
    <w:name w:val="Block Label With Six Number"/>
    <w:basedOn w:val="Normal"/>
    <w:next w:val="Normal"/>
    <w:pPr>
      <w:keepNext/>
      <w:keepLines/>
      <w:spacing w:before="300" w:after="80"/>
      <w:ind w:left="0"/>
      <w:outlineLvl w:val="5"/>
    </w:pPr>
    <w:rPr>
      <w:rFonts w:ascii="Book Antiqua" w:eastAsia="黑体" w:hAnsi="Book Antiqua" w:cs="Book Antiqua"/>
      <w:b/>
      <w:bCs/>
      <w:kern w:val="0"/>
      <w:sz w:val="24"/>
      <w:szCs w:val="24"/>
    </w:rPr>
  </w:style>
  <w:style w:type="paragraph" w:customStyle="1" w:styleId="BlockLabelWithSevenNumber">
    <w:name w:val="Block Label With Seven Number"/>
    <w:basedOn w:val="Normal"/>
    <w:next w:val="Normal"/>
    <w:pPr>
      <w:keepNext/>
      <w:keepLines/>
      <w:spacing w:before="300" w:after="80"/>
      <w:ind w:left="0"/>
      <w:outlineLvl w:val="6"/>
    </w:pPr>
    <w:rPr>
      <w:rFonts w:ascii="Book Antiqua" w:eastAsia="黑体" w:hAnsi="Book Antiqua" w:cs="Book Antiqua"/>
      <w:b/>
      <w:bCs/>
      <w:kern w:val="0"/>
      <w:sz w:val="24"/>
      <w:szCs w:val="24"/>
    </w:rPr>
  </w:style>
  <w:style w:type="paragraph" w:customStyle="1" w:styleId="BlockLabelInTitlePage">
    <w:name w:val="Block Label In Title Page"/>
    <w:next w:val="Normal"/>
    <w:pPr>
      <w:keepNext/>
      <w:keepLines/>
      <w:spacing w:before="200" w:after="160"/>
    </w:pPr>
    <w:rPr>
      <w:rFonts w:ascii="Book Antiqua" w:hAnsi="Book Antiqua"/>
      <w:b/>
      <w:sz w:val="26"/>
      <w:szCs w:val="26"/>
    </w:rPr>
  </w:style>
  <w:style w:type="paragraph" w:customStyle="1" w:styleId="CopyrightDeclaration1">
    <w:name w:val="Copyright Declaration1"/>
    <w:rsid w:val="00F613A7"/>
    <w:pPr>
      <w:spacing w:before="80" w:after="80"/>
    </w:pPr>
    <w:rPr>
      <w:rFonts w:ascii="Arial" w:eastAsia="黑体" w:hAnsi="Arial" w:cs="Arial"/>
      <w:b/>
      <w:bCs/>
      <w:noProof/>
      <w:sz w:val="48"/>
      <w:szCs w:val="48"/>
      <w:lang w:val="en-US" w:eastAsia="zh-CN" w:bidi="ar-SA"/>
    </w:rPr>
  </w:style>
  <w:style w:type="paragraph" w:customStyle="1" w:styleId="BlockLabelinAppendix">
    <w:name w:val="Block Label in Appendix"/>
    <w:basedOn w:val="BlockLabel"/>
    <w:next w:val="Normal"/>
    <w:rsid w:val="00F613A7"/>
    <w:pPr>
      <w:numPr>
        <w:numId w:val="40"/>
      </w:numPr>
      <w:topLinePunct w:val="0"/>
    </w:pPr>
    <w:rPr>
      <w:rFonts w:eastAsia="Arial"/>
    </w:rPr>
  </w:style>
  <w:style w:type="paragraph" w:customStyle="1" w:styleId="Cover1">
    <w:name w:val="Cover 1"/>
    <w:basedOn w:val="Normal"/>
    <w:rsid w:val="00F613A7"/>
    <w:pPr>
      <w:widowControl w:val="0"/>
      <w:kinsoku w:val="0"/>
      <w:overflowPunct w:val="0"/>
      <w:topLinePunct w:val="0"/>
      <w:autoSpaceDE w:val="0"/>
      <w:autoSpaceDN w:val="0"/>
      <w:spacing w:before="80" w:after="80"/>
      <w:ind w:left="0"/>
    </w:pPr>
    <w:rPr>
      <w:rFonts w:ascii="Arial" w:hAnsi="Arial"/>
      <w:b/>
      <w:bCs/>
      <w:noProof/>
      <w:kern w:val="0"/>
      <w:sz w:val="40"/>
      <w:szCs w:val="40"/>
    </w:rPr>
  </w:style>
  <w:style w:type="paragraph" w:customStyle="1" w:styleId="Cover3">
    <w:name w:val="Cover 3"/>
    <w:basedOn w:val="Normal"/>
    <w:autoRedefine/>
    <w:rsid w:val="003615C4"/>
    <w:pPr>
      <w:widowControl w:val="0"/>
      <w:topLinePunct w:val="0"/>
      <w:spacing w:before="80" w:after="80"/>
      <w:ind w:left="0"/>
    </w:pPr>
    <w:rPr>
      <w:rFonts w:ascii="Arial" w:eastAsia="Arial" w:hAnsi="Arial"/>
      <w:bCs/>
      <w:spacing w:val="-4"/>
      <w:sz w:val="22"/>
      <w:szCs w:val="22"/>
    </w:rPr>
  </w:style>
  <w:style w:type="paragraph" w:customStyle="1" w:styleId="Figure">
    <w:name w:val="Figure"/>
    <w:basedOn w:val="Normal"/>
    <w:next w:val="Normal"/>
    <w:rsid w:val="006D5FB7"/>
    <w:pPr>
      <w:keepNext/>
    </w:pPr>
  </w:style>
  <w:style w:type="paragraph" w:customStyle="1" w:styleId="FigureDescription">
    <w:name w:val="Figure Description"/>
    <w:next w:val="Figure"/>
    <w:rsid w:val="009502FF"/>
    <w:pPr>
      <w:keepNext/>
      <w:numPr>
        <w:ilvl w:val="7"/>
        <w:numId w:val="2"/>
      </w:numPr>
      <w:adjustRightInd w:val="0"/>
      <w:snapToGrid w:val="0"/>
      <w:spacing w:before="320" w:after="80" w:line="240" w:lineRule="atLeast"/>
    </w:pPr>
    <w:rPr>
      <w:rFonts w:eastAsia="黑体" w:cs="Arial"/>
      <w:spacing w:val="-4"/>
      <w:kern w:val="2"/>
      <w:sz w:val="21"/>
      <w:szCs w:val="21"/>
      <w:lang w:val="en-US" w:eastAsia="zh-CN" w:bidi="ar-SA"/>
    </w:rPr>
  </w:style>
  <w:style w:type="paragraph" w:customStyle="1" w:styleId="FigureText">
    <w:name w:val="Figure Text"/>
    <w:rsid w:val="00EA1E0F"/>
    <w:pPr>
      <w:widowControl w:val="0"/>
      <w:adjustRightInd w:val="0"/>
      <w:snapToGrid w:val="0"/>
      <w:spacing w:line="240" w:lineRule="atLeast"/>
    </w:pPr>
    <w:rPr>
      <w:rFonts w:cs="Arial"/>
      <w:sz w:val="18"/>
      <w:szCs w:val="18"/>
      <w:lang w:val="en-US" w:eastAsia="en-US" w:bidi="ar-SA"/>
    </w:rPr>
  </w:style>
  <w:style w:type="paragraph" w:customStyle="1" w:styleId="HeadingLeft">
    <w:name w:val="Heading Left"/>
    <w:basedOn w:val="Normal"/>
    <w:rsid w:val="003C13A3"/>
    <w:pPr>
      <w:spacing w:before="0" w:after="0"/>
      <w:ind w:left="0"/>
    </w:pPr>
    <w:rPr>
      <w:rFonts w:ascii="Times New Roman" w:eastAsia="宋体"/>
      <w:sz w:val="20"/>
      <w:szCs w:val="20"/>
    </w:rPr>
  </w:style>
  <w:style w:type="paragraph" w:customStyle="1" w:styleId="HeadingRight">
    <w:name w:val="Heading Right"/>
    <w:basedOn w:val="Normal"/>
    <w:rsid w:val="003C13A3"/>
    <w:pPr>
      <w:spacing w:before="0" w:after="0"/>
      <w:ind w:left="0"/>
      <w:jc w:val="right"/>
    </w:pPr>
    <w:rPr>
      <w:rFonts w:ascii="Times New Roman" w:cs="Times New Roman"/>
      <w:sz w:val="20"/>
      <w:szCs w:val="20"/>
    </w:rPr>
  </w:style>
  <w:style w:type="paragraph" w:customStyle="1" w:styleId="Heading1NoNumber">
    <w:name w:val="Heading1 No Number"/>
    <w:basedOn w:val="Heading1"/>
    <w:next w:val="Normal"/>
    <w:rsid w:val="007D4CBD"/>
    <w:pPr>
      <w:pageBreakBefore/>
      <w:numPr>
        <w:numId w:val="0"/>
      </w:numPr>
    </w:pPr>
    <w:rPr>
      <w:rFonts w:eastAsia="宋体"/>
    </w:rPr>
  </w:style>
  <w:style w:type="paragraph" w:customStyle="1" w:styleId="Heading2NoNumber">
    <w:name w:val="Heading2 No Number"/>
    <w:basedOn w:val="Heading2"/>
    <w:next w:val="Normal"/>
    <w:rsid w:val="007D4CBD"/>
    <w:pPr>
      <w:numPr>
        <w:ilvl w:val="0"/>
        <w:numId w:val="0"/>
      </w:numPr>
      <w:outlineLvl w:val="9"/>
    </w:pPr>
    <w:rPr>
      <w:rFonts w:eastAsia="宋体"/>
    </w:rPr>
  </w:style>
  <w:style w:type="paragraph" w:customStyle="1" w:styleId="Heading2NoNumber4lite">
    <w:name w:val="Heading2 No Number 4 lite"/>
    <w:basedOn w:val="Heading2"/>
    <w:next w:val="Normal"/>
    <w:rsid w:val="007D4CBD"/>
    <w:pPr>
      <w:numPr>
        <w:ilvl w:val="0"/>
        <w:numId w:val="0"/>
      </w:numPr>
    </w:pPr>
    <w:rPr>
      <w:rFonts w:eastAsia="宋体"/>
    </w:rPr>
  </w:style>
  <w:style w:type="paragraph" w:customStyle="1" w:styleId="Heading3NoNumber">
    <w:name w:val="Heading3 No Number"/>
    <w:basedOn w:val="Heading3"/>
    <w:next w:val="Normal"/>
    <w:rsid w:val="007D4CBD"/>
    <w:pPr>
      <w:numPr>
        <w:ilvl w:val="0"/>
        <w:numId w:val="0"/>
      </w:numPr>
    </w:pPr>
    <w:rPr>
      <w:rFonts w:eastAsia="宋体" w:cs="Book Antiqua"/>
    </w:rPr>
  </w:style>
  <w:style w:type="paragraph" w:customStyle="1" w:styleId="Heading4NoNumber">
    <w:name w:val="Heading4 No Number"/>
    <w:basedOn w:val="Normal"/>
    <w:semiHidden/>
    <w:rsid w:val="007D4CBD"/>
    <w:pPr>
      <w:keepNext/>
      <w:spacing w:before="200"/>
    </w:pPr>
    <w:rPr>
      <w:b/>
      <w:bCs/>
      <w:spacing w:val="-4"/>
    </w:rPr>
  </w:style>
  <w:style w:type="paragraph" w:customStyle="1" w:styleId="AboutThisChapter">
    <w:name w:val="About This Chapter"/>
    <w:basedOn w:val="Heading2NoNumber"/>
    <w:next w:val="Normal"/>
    <w:rsid w:val="009E2329"/>
    <w:pPr>
      <w:spacing w:after="560"/>
    </w:pPr>
  </w:style>
  <w:style w:type="numbering" w:styleId="111111">
    <w:name w:val="Outline List 2"/>
    <w:basedOn w:val="NoList"/>
    <w:semiHidden/>
    <w:rsid w:val="005327F2"/>
    <w:pPr>
      <w:numPr>
        <w:numId w:val="15"/>
      </w:numPr>
    </w:pPr>
  </w:style>
  <w:style w:type="paragraph" w:customStyle="1" w:styleId="ItemList">
    <w:name w:val="Item List"/>
    <w:rsid w:val="009502FF"/>
    <w:pPr>
      <w:numPr>
        <w:numId w:val="19"/>
      </w:numPr>
      <w:adjustRightInd w:val="0"/>
      <w:snapToGrid w:val="0"/>
      <w:spacing w:before="80" w:after="80" w:line="240" w:lineRule="atLeast"/>
    </w:pPr>
    <w:rPr>
      <w:rFonts w:cs="Arial"/>
      <w:kern w:val="2"/>
      <w:sz w:val="21"/>
      <w:szCs w:val="21"/>
      <w:lang w:val="en-US" w:eastAsia="zh-CN" w:bidi="ar-SA"/>
    </w:rPr>
  </w:style>
  <w:style w:type="paragraph" w:customStyle="1" w:styleId="ItemListinTable">
    <w:name w:val="Item List in Table"/>
    <w:basedOn w:val="Normal"/>
    <w:rsid w:val="00D1025A"/>
    <w:pPr>
      <w:widowControl w:val="0"/>
      <w:numPr>
        <w:numId w:val="18"/>
      </w:numPr>
      <w:tabs>
        <w:tab w:val="clear" w:pos="170"/>
        <w:tab w:val="left" w:pos="284"/>
      </w:tabs>
      <w:spacing w:before="80" w:after="80"/>
      <w:ind w:left="284" w:hanging="284"/>
    </w:pPr>
    <w:rPr>
      <w:kern w:val="0"/>
    </w:rPr>
  </w:style>
  <w:style w:type="paragraph" w:customStyle="1" w:styleId="SubItemListinTable">
    <w:name w:val="Sub Item List in Table"/>
    <w:basedOn w:val="Normal"/>
    <w:pPr>
      <w:numPr>
        <w:ilvl w:val="2"/>
        <w:numId w:val="31"/>
      </w:numPr>
      <w:spacing w:before="80" w:after="80"/>
    </w:pPr>
  </w:style>
  <w:style w:type="paragraph" w:customStyle="1" w:styleId="SubItemStepinTable">
    <w:name w:val="Sub Item Step in Table"/>
    <w:pPr>
      <w:numPr>
        <w:ilvl w:val="1"/>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StepinTableList">
    <w:name w:val="Sub Item Step in Table List"/>
    <w:pPr>
      <w:numPr>
        <w:ilvl w:val="3"/>
        <w:numId w:val="31"/>
      </w:numPr>
      <w:adjustRightInd w:val="0"/>
      <w:snapToGrid w:val="0"/>
      <w:spacing w:before="80" w:after="80" w:line="240" w:lineRule="atLeast"/>
    </w:pPr>
    <w:rPr>
      <w:rFonts w:cs="Arial" w:hint="default"/>
      <w:sz w:val="21"/>
      <w:szCs w:val="21"/>
      <w:lang w:val="en-US" w:eastAsia="zh-CN" w:bidi="ar-SA"/>
    </w:rPr>
  </w:style>
  <w:style w:type="paragraph" w:customStyle="1" w:styleId="SubItemListinTableStep">
    <w:name w:val="Sub Item List in Table Step"/>
    <w:basedOn w:val="Normal"/>
    <w:pPr>
      <w:numPr>
        <w:ilvl w:val="4"/>
        <w:numId w:val="31"/>
      </w:numPr>
      <w:spacing w:before="80" w:after="80"/>
    </w:pPr>
  </w:style>
  <w:style w:type="paragraph" w:customStyle="1" w:styleId="ItemListText">
    <w:name w:val="Item List Text"/>
    <w:rsid w:val="00B86119"/>
    <w:pPr>
      <w:adjustRightInd w:val="0"/>
      <w:snapToGrid w:val="0"/>
      <w:spacing w:before="80" w:after="80" w:line="240" w:lineRule="atLeast"/>
      <w:ind w:left="2126"/>
    </w:pPr>
    <w:rPr>
      <w:kern w:val="2"/>
      <w:sz w:val="21"/>
      <w:szCs w:val="21"/>
      <w:lang w:val="en-US" w:eastAsia="zh-CN" w:bidi="ar-SA"/>
    </w:rPr>
  </w:style>
  <w:style w:type="paragraph" w:customStyle="1" w:styleId="ItemStep">
    <w:name w:val="Item Step"/>
    <w:rsid w:val="009502FF"/>
    <w:pPr>
      <w:numPr>
        <w:ilvl w:val="0"/>
        <w:numId w:val="23"/>
      </w:numPr>
      <w:adjustRightInd w:val="0"/>
      <w:snapToGrid w:val="0"/>
      <w:spacing w:before="80" w:after="80" w:line="240" w:lineRule="atLeast"/>
    </w:pPr>
    <w:rPr>
      <w:rFonts w:cs="Arial"/>
      <w:sz w:val="21"/>
      <w:szCs w:val="21"/>
      <w:lang w:val="en-US" w:eastAsia="zh-CN" w:bidi="ar-SA"/>
    </w:rPr>
  </w:style>
  <w:style w:type="paragraph" w:customStyle="1" w:styleId="SubItemStep">
    <w:name w:val="Sub Item Step"/>
    <w:pPr>
      <w:numPr>
        <w:ilvl w:val="1"/>
        <w:numId w:val="23"/>
      </w:numPr>
      <w:adjustRightInd w:val="0"/>
      <w:snapToGrid w:val="0"/>
      <w:spacing w:before="80" w:after="80" w:line="240" w:lineRule="atLeast"/>
    </w:pPr>
    <w:rPr>
      <w:rFonts w:cs="Arial"/>
      <w:sz w:val="21"/>
      <w:szCs w:val="21"/>
      <w:lang w:val="en-US" w:eastAsia="zh-CN" w:bidi="ar-SA"/>
    </w:rPr>
  </w:style>
  <w:style w:type="paragraph" w:customStyle="1" w:styleId="ThirdLevelItemStep">
    <w:name w:val="Third Level Item Step"/>
    <w:pPr>
      <w:numPr>
        <w:ilvl w:val="2"/>
        <w:numId w:val="23"/>
      </w:numPr>
      <w:adjustRightInd w:val="0"/>
      <w:snapToGrid w:val="0"/>
      <w:spacing w:before="80" w:after="80" w:line="240" w:lineRule="atLeast"/>
    </w:pPr>
    <w:rPr>
      <w:rFonts w:cs="Arial" w:hint="default"/>
      <w:sz w:val="21"/>
      <w:szCs w:val="21"/>
      <w:lang w:val="en-US" w:eastAsia="zh-CN" w:bidi="ar-SA"/>
    </w:rPr>
  </w:style>
  <w:style w:type="paragraph" w:customStyle="1" w:styleId="FourthLevelItemStep">
    <w:name w:val="Fourth Level Item Step"/>
    <w:pPr>
      <w:numPr>
        <w:ilvl w:val="3"/>
        <w:numId w:val="23"/>
      </w:numPr>
      <w:adjustRightInd w:val="0"/>
      <w:snapToGrid w:val="0"/>
      <w:spacing w:before="80" w:after="80" w:line="240" w:lineRule="atLeast"/>
    </w:pPr>
    <w:rPr>
      <w:rFonts w:cs="Arial" w:hint="default"/>
      <w:sz w:val="21"/>
      <w:szCs w:val="21"/>
      <w:lang w:val="en-US" w:eastAsia="zh-CN" w:bidi="ar-SA"/>
    </w:rPr>
  </w:style>
  <w:style w:type="paragraph" w:customStyle="1" w:styleId="ManualTitle1">
    <w:name w:val="Manual Title1"/>
    <w:semiHidden/>
    <w:rsid w:val="00446256"/>
    <w:rPr>
      <w:rFonts w:ascii="Arial" w:eastAsia="黑体" w:hAnsi="Arial"/>
      <w:noProof/>
      <w:sz w:val="30"/>
      <w:lang w:val="en-US" w:eastAsia="en-US" w:bidi="ar-SA"/>
    </w:rPr>
  </w:style>
  <w:style w:type="paragraph" w:customStyle="1" w:styleId="CAUTIONHeading">
    <w:name w:val="CAUTION Heading"/>
    <w:basedOn w:val="Normal"/>
    <w:rsid w:val="00046DA7"/>
    <w:pPr>
      <w:keepNext/>
      <w:pBdr>
        <w:top w:val="single" w:sz="12" w:space="4" w:color="auto"/>
      </w:pBdr>
      <w:spacing w:before="80" w:after="80"/>
    </w:pPr>
    <w:rPr>
      <w:rFonts w:ascii="Book Antiqua" w:eastAsia="黑体" w:hAnsi="Book Antiqua"/>
      <w:b/>
      <w:bCs/>
      <w:noProof/>
      <w:kern w:val="0"/>
      <w:position w:val="-6"/>
    </w:rPr>
  </w:style>
  <w:style w:type="paragraph" w:customStyle="1" w:styleId="NotesHeadinginTable">
    <w:name w:val="Notes Heading in Table"/>
    <w:next w:val="NotesTextinTable"/>
    <w:rsid w:val="003D07DD"/>
    <w:pPr>
      <w:keepNext/>
      <w:adjustRightInd w:val="0"/>
      <w:snapToGrid w:val="0"/>
      <w:spacing w:before="80" w:after="40" w:line="240" w:lineRule="atLeast"/>
    </w:pPr>
    <w:rPr>
      <w:rFonts w:eastAsia="黑体" w:cs="Arial"/>
      <w:b/>
      <w:bCs/>
      <w:kern w:val="2"/>
      <w:sz w:val="18"/>
      <w:szCs w:val="18"/>
      <w:lang w:val="en-US" w:eastAsia="zh-CN" w:bidi="ar-SA"/>
    </w:rPr>
  </w:style>
  <w:style w:type="paragraph" w:customStyle="1" w:styleId="CAUTIONText">
    <w:name w:val="CAUTION Text"/>
    <w:basedOn w:val="Normal"/>
    <w:rsid w:val="0048609F"/>
    <w:pPr>
      <w:keepLines/>
      <w:pBdr>
        <w:bottom w:val="single" w:sz="12" w:space="4" w:color="auto"/>
      </w:pBdr>
      <w:spacing w:before="80" w:after="80"/>
    </w:pPr>
    <w:rPr>
      <w:rFonts w:eastAsia="楷体_GB2312"/>
      <w:iCs/>
    </w:rPr>
  </w:style>
  <w:style w:type="paragraph" w:customStyle="1" w:styleId="NotesTextinTable">
    <w:name w:val="Notes Text in Table"/>
    <w:rsid w:val="00714DD5"/>
    <w:pPr>
      <w:widowControl w:val="0"/>
      <w:adjustRightInd w:val="0"/>
      <w:snapToGrid w:val="0"/>
      <w:spacing w:before="40" w:after="80" w:line="200" w:lineRule="atLeast"/>
      <w:ind w:left="170"/>
    </w:pPr>
    <w:rPr>
      <w:rFonts w:eastAsia="楷体_GB2312" w:cs="Arial"/>
      <w:iCs/>
      <w:kern w:val="2"/>
      <w:sz w:val="18"/>
      <w:szCs w:val="18"/>
      <w:lang w:val="en-US" w:eastAsia="zh-CN" w:bidi="ar-SA"/>
    </w:rPr>
  </w:style>
  <w:style w:type="paragraph" w:customStyle="1" w:styleId="CAUTIONTextList">
    <w:name w:val="CAUTION Text List"/>
    <w:basedOn w:val="CAUTIONText"/>
    <w:rsid w:val="0048609F"/>
    <w:pPr>
      <w:keepNext/>
      <w:numPr>
        <w:numId w:val="21"/>
      </w:numPr>
    </w:pPr>
  </w:style>
  <w:style w:type="table" w:customStyle="1" w:styleId="Table">
    <w:name w:val="Table"/>
    <w:basedOn w:val="TableProfessional"/>
    <w:rsid w:val="00B937D5"/>
    <w:pPr>
      <w:jc w:val="left"/>
    </w:pPr>
    <w:rPr>
      <w:rFonts w:cs="Arial"/>
      <w:lang w:bidi="ar-SA"/>
    </w:rPr>
    <w:tblPr>
      <w:tblInd w:w="181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rPr>
      <w:cantSplit/>
    </w:trPr>
    <w:tblStylePr w:type="firstRow">
      <w:rPr>
        <w:b w:val="0"/>
        <w:bCs w:val="0"/>
        <w:i w:val="0"/>
        <w:iCs w:val="0"/>
        <w:color w:val="auto"/>
        <w:sz w:val="20"/>
        <w:szCs w:val="20"/>
      </w:rPr>
      <w:tblPr/>
      <w:tcPr>
        <w:tcBorders>
          <w:top w:val="single" w:sz="6" w:space="0" w:color="auto"/>
          <w:left w:val="single" w:sz="6" w:space="0" w:color="auto"/>
          <w:bottom w:val="single" w:sz="6" w:space="0" w:color="auto"/>
          <w:right w:val="single" w:sz="6" w:space="0" w:color="auto"/>
          <w:insideH w:val="single" w:sz="6" w:space="0" w:color="auto"/>
          <w:insideV w:val="single" w:sz="6" w:space="0" w:color="auto"/>
          <w:tl2br w:val="nil"/>
          <w:tr2bl w:val="nil"/>
        </w:tcBorders>
        <w:shd w:val="clear" w:color="auto" w:fill="D9D9D9"/>
      </w:tcPr>
    </w:tblStylePr>
  </w:style>
  <w:style w:type="paragraph" w:customStyle="1" w:styleId="ItemlistTextTD">
    <w:name w:val="Item list Text TD"/>
    <w:basedOn w:val="TerminalDisplay"/>
    <w:rsid w:val="00BA06CB"/>
    <w:pPr>
      <w:ind w:left="2126"/>
    </w:pPr>
    <w:rPr>
      <w:spacing w:val="-1"/>
    </w:rPr>
  </w:style>
  <w:style w:type="table" w:styleId="TableGrid">
    <w:name w:val="Table Grid"/>
    <w:basedOn w:val="TableNormal"/>
    <w:semiHidden/>
    <w:rsid w:val="00446256"/>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ep">
    <w:name w:val="Step"/>
    <w:basedOn w:val="Normal"/>
    <w:rsid w:val="009502FF"/>
    <w:pPr>
      <w:numPr>
        <w:ilvl w:val="6"/>
        <w:numId w:val="2"/>
      </w:numPr>
    </w:pPr>
    <w:rPr>
      <w:snapToGrid w:val="0"/>
      <w:kern w:val="0"/>
    </w:rPr>
  </w:style>
  <w:style w:type="paragraph" w:customStyle="1" w:styleId="SubItemList">
    <w:name w:val="Sub Item List"/>
    <w:basedOn w:val="Normal"/>
    <w:rsid w:val="00027249"/>
    <w:pPr>
      <w:numPr>
        <w:numId w:val="1"/>
      </w:numPr>
      <w:spacing w:before="80" w:after="80"/>
    </w:pPr>
  </w:style>
  <w:style w:type="paragraph" w:customStyle="1" w:styleId="ThirdLevelItemList">
    <w:name w:val="Third Level Item List"/>
    <w:basedOn w:val="Normal"/>
    <w:rsid w:val="004E5A8A"/>
    <w:pPr>
      <w:numPr>
        <w:ilvl w:val="1"/>
        <w:numId w:val="1"/>
      </w:numPr>
      <w:spacing w:before="80" w:after="80"/>
    </w:pPr>
  </w:style>
  <w:style w:type="paragraph" w:customStyle="1" w:styleId="FourthLevelItemList">
    <w:name w:val="Fourth Level Item List"/>
    <w:basedOn w:val="Normal"/>
    <w:rsid w:val="004E5A8A"/>
    <w:pPr>
      <w:numPr>
        <w:ilvl w:val="2"/>
        <w:numId w:val="1"/>
      </w:numPr>
      <w:spacing w:before="80" w:after="80"/>
    </w:pPr>
  </w:style>
  <w:style w:type="paragraph" w:customStyle="1" w:styleId="SubItemListText">
    <w:name w:val="Sub Item List Text"/>
    <w:rsid w:val="00B86119"/>
    <w:pPr>
      <w:adjustRightInd w:val="0"/>
      <w:snapToGrid w:val="0"/>
      <w:spacing w:before="80" w:after="80" w:line="240" w:lineRule="atLeast"/>
      <w:ind w:left="2551"/>
    </w:pPr>
    <w:rPr>
      <w:kern w:val="2"/>
      <w:sz w:val="21"/>
      <w:szCs w:val="21"/>
      <w:lang w:val="en-US" w:eastAsia="zh-CN" w:bidi="ar-SA"/>
    </w:rPr>
  </w:style>
  <w:style w:type="paragraph" w:customStyle="1" w:styleId="ThirdLevelItemListText">
    <w:name w:val="Third Level Item List Text"/>
    <w:rsid w:val="00C41A41"/>
    <w:pPr>
      <w:adjustRightInd w:val="0"/>
      <w:snapToGrid w:val="0"/>
      <w:spacing w:before="80" w:after="80" w:line="240" w:lineRule="atLeast"/>
      <w:ind w:left="2976"/>
    </w:pPr>
    <w:rPr>
      <w:rFonts w:cs="Arial" w:hint="default"/>
      <w:kern w:val="2"/>
      <w:sz w:val="21"/>
      <w:szCs w:val="21"/>
      <w:lang w:val="en-US" w:eastAsia="zh-CN" w:bidi="ar-SA"/>
    </w:rPr>
  </w:style>
  <w:style w:type="paragraph" w:customStyle="1" w:styleId="FourthLevelItemListText">
    <w:name w:val="Fourth Level Item List Text"/>
    <w:rsid w:val="00C41A41"/>
    <w:pPr>
      <w:adjustRightInd w:val="0"/>
      <w:snapToGrid w:val="0"/>
      <w:spacing w:before="80" w:after="80" w:line="240" w:lineRule="atLeast"/>
      <w:ind w:left="3401"/>
    </w:pPr>
    <w:rPr>
      <w:rFonts w:cs="Arial" w:hint="default"/>
      <w:kern w:val="2"/>
      <w:sz w:val="21"/>
      <w:szCs w:val="21"/>
      <w:lang w:val="en-US" w:eastAsia="zh-CN" w:bidi="ar-SA"/>
    </w:rPr>
  </w:style>
  <w:style w:type="paragraph" w:styleId="Title">
    <w:name w:val="Title"/>
    <w:basedOn w:val="Normal"/>
    <w:semiHidden/>
    <w:qFormat/>
    <w:rsid w:val="009B2A47"/>
    <w:pPr>
      <w:spacing w:before="240" w:after="60"/>
      <w:jc w:val="center"/>
      <w:outlineLvl w:val="0"/>
    </w:pPr>
    <w:rPr>
      <w:rFonts w:ascii="Arial" w:hAnsi="Arial"/>
      <w:b/>
      <w:bCs/>
      <w:sz w:val="32"/>
      <w:szCs w:val="32"/>
    </w:rPr>
  </w:style>
  <w:style w:type="table" w:styleId="TableProfessional">
    <w:name w:val="Table Professional"/>
    <w:basedOn w:val="TableNormal"/>
    <w:semiHidden/>
    <w:rsid w:val="00446256"/>
    <w:pPr>
      <w:widowControl w:val="0"/>
      <w:jc w:val="both"/>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TableDescription">
    <w:name w:val="Table Description"/>
    <w:basedOn w:val="Normal"/>
    <w:next w:val="Normal"/>
    <w:rsid w:val="001171CE"/>
    <w:pPr>
      <w:keepNext/>
      <w:numPr>
        <w:ilvl w:val="8"/>
        <w:numId w:val="2"/>
      </w:numPr>
      <w:spacing w:before="320" w:after="80"/>
    </w:pPr>
    <w:rPr>
      <w:rFonts w:eastAsia="黑体"/>
      <w:spacing w:val="-4"/>
    </w:rPr>
  </w:style>
  <w:style w:type="paragraph" w:customStyle="1" w:styleId="TableNote">
    <w:name w:val="Table Note"/>
    <w:basedOn w:val="Normal"/>
    <w:rsid w:val="0069173F"/>
    <w:pPr>
      <w:keepLines/>
      <w:spacing w:before="80" w:after="80"/>
    </w:pPr>
    <w:rPr>
      <w:color w:val="000000"/>
      <w:kern w:val="0"/>
      <w:sz w:val="18"/>
      <w:szCs w:val="18"/>
    </w:rPr>
  </w:style>
  <w:style w:type="paragraph" w:customStyle="1" w:styleId="TerminalDisplay">
    <w:name w:val="Terminal Display"/>
    <w:rsid w:val="0001481A"/>
    <w:pPr>
      <w:shd w:val="clear" w:color="auto" w:fill="F2F2F2"/>
      <w:adjustRightInd w:val="0"/>
      <w:snapToGrid w:val="0"/>
      <w:spacing w:line="240" w:lineRule="atLeast"/>
      <w:ind w:left="1701"/>
    </w:pPr>
    <w:rPr>
      <w:rFonts w:ascii="Courier New" w:hAnsi="Courier New" w:cs="Courier New"/>
      <w:snapToGrid w:val="0"/>
      <w:sz w:val="16"/>
      <w:szCs w:val="16"/>
      <w:lang w:val="en-US" w:eastAsia="zh-CN" w:bidi="ar-SA"/>
    </w:rPr>
  </w:style>
  <w:style w:type="paragraph" w:styleId="TOC1">
    <w:name w:val="toc 1"/>
    <w:basedOn w:val="Normal"/>
    <w:next w:val="Normal"/>
    <w:semiHidden/>
    <w:rsid w:val="00A82433"/>
    <w:pPr>
      <w:spacing w:after="80"/>
      <w:ind w:left="0"/>
    </w:pPr>
    <w:rPr>
      <w:rFonts w:ascii="Book Antiqua" w:hAnsi="Book Antiqua" w:cs="Book Antiqua"/>
      <w:b/>
      <w:bCs/>
      <w:sz w:val="24"/>
      <w:szCs w:val="24"/>
    </w:rPr>
  </w:style>
  <w:style w:type="paragraph" w:styleId="TOC2">
    <w:name w:val="toc 2"/>
    <w:basedOn w:val="Normal"/>
    <w:next w:val="Normal"/>
    <w:semiHidden/>
    <w:rsid w:val="00A82433"/>
    <w:pPr>
      <w:spacing w:before="80" w:after="80"/>
      <w:ind w:left="0"/>
    </w:pPr>
    <w:rPr>
      <w:noProof/>
      <w:sz w:val="20"/>
      <w:szCs w:val="20"/>
    </w:rPr>
  </w:style>
  <w:style w:type="paragraph" w:styleId="TOC3">
    <w:name w:val="toc 3"/>
    <w:basedOn w:val="Normal"/>
    <w:next w:val="Normal"/>
    <w:semiHidden/>
    <w:rsid w:val="00A82433"/>
    <w:pPr>
      <w:spacing w:before="80" w:after="80"/>
      <w:ind w:left="0"/>
    </w:pPr>
    <w:rPr>
      <w:noProof/>
      <w:sz w:val="20"/>
      <w:szCs w:val="20"/>
    </w:rPr>
  </w:style>
  <w:style w:type="paragraph" w:styleId="TOC4">
    <w:name w:val="toc 4"/>
    <w:basedOn w:val="Normal"/>
    <w:next w:val="Normal"/>
    <w:rsid w:val="00BB3B70"/>
    <w:pPr>
      <w:spacing w:before="80" w:after="80"/>
      <w:ind w:left="0"/>
    </w:pPr>
    <w:rPr>
      <w:sz w:val="20"/>
      <w:szCs w:val="20"/>
    </w:rPr>
  </w:style>
  <w:style w:type="paragraph" w:styleId="TOC5">
    <w:name w:val="toc 5"/>
    <w:basedOn w:val="Normal"/>
    <w:next w:val="Normal"/>
    <w:autoRedefine/>
    <w:semiHidden/>
    <w:rsid w:val="00446256"/>
    <w:pPr>
      <w:spacing w:before="80" w:after="80"/>
      <w:ind w:left="0"/>
    </w:pPr>
    <w:rPr>
      <w:noProof/>
      <w:sz w:val="20"/>
      <w:szCs w:val="20"/>
    </w:rPr>
  </w:style>
  <w:style w:type="paragraph" w:styleId="TOC6">
    <w:name w:val="toc 6"/>
    <w:basedOn w:val="Normal"/>
    <w:next w:val="Normal"/>
    <w:autoRedefine/>
    <w:semiHidden/>
    <w:rsid w:val="00446256"/>
    <w:pPr>
      <w:ind w:left="2100"/>
    </w:pPr>
    <w:rPr>
      <w:sz w:val="24"/>
    </w:rPr>
  </w:style>
  <w:style w:type="paragraph" w:styleId="TOC7">
    <w:name w:val="toc 7"/>
    <w:basedOn w:val="Normal"/>
    <w:next w:val="Normal"/>
    <w:autoRedefine/>
    <w:semiHidden/>
    <w:rsid w:val="00446256"/>
    <w:pPr>
      <w:ind w:left="2520"/>
    </w:pPr>
    <w:rPr>
      <w:sz w:val="24"/>
    </w:rPr>
  </w:style>
  <w:style w:type="paragraph" w:styleId="TOC8">
    <w:name w:val="toc 8"/>
    <w:basedOn w:val="Normal"/>
    <w:next w:val="Normal"/>
    <w:autoRedefine/>
    <w:semiHidden/>
    <w:rsid w:val="00446256"/>
    <w:pPr>
      <w:ind w:left="2940"/>
    </w:pPr>
    <w:rPr>
      <w:sz w:val="24"/>
    </w:rPr>
  </w:style>
  <w:style w:type="paragraph" w:styleId="TOC9">
    <w:name w:val="toc 9"/>
    <w:basedOn w:val="Normal"/>
    <w:next w:val="Normal"/>
    <w:autoRedefine/>
    <w:semiHidden/>
    <w:rsid w:val="00446256"/>
    <w:pPr>
      <w:ind w:left="3360"/>
    </w:pPr>
    <w:rPr>
      <w:sz w:val="24"/>
    </w:rPr>
  </w:style>
  <w:style w:type="paragraph" w:styleId="Index1">
    <w:name w:val="index 1"/>
    <w:next w:val="Normal"/>
    <w:rsid w:val="00F613A7"/>
    <w:pPr>
      <w:adjustRightInd w:val="0"/>
      <w:snapToGrid w:val="0"/>
    </w:pPr>
    <w:rPr>
      <w:rFonts w:cs="Arial"/>
      <w:kern w:val="2"/>
      <w:sz w:val="21"/>
      <w:szCs w:val="21"/>
      <w:lang w:val="en-US" w:eastAsia="zh-CN" w:bidi="ar-SA"/>
    </w:rPr>
  </w:style>
  <w:style w:type="paragraph" w:styleId="Index2">
    <w:name w:val="index 2"/>
    <w:next w:val="Normal"/>
    <w:rsid w:val="00F613A7"/>
    <w:pPr>
      <w:adjustRightInd w:val="0"/>
      <w:snapToGrid w:val="0"/>
      <w:ind w:left="284"/>
    </w:pPr>
    <w:rPr>
      <w:rFonts w:cs="Arial"/>
      <w:kern w:val="2"/>
      <w:sz w:val="21"/>
      <w:szCs w:val="21"/>
      <w:lang w:val="en-US" w:eastAsia="zh-CN" w:bidi="ar-SA"/>
    </w:rPr>
  </w:style>
  <w:style w:type="paragraph" w:styleId="Index3">
    <w:name w:val="index 3"/>
    <w:next w:val="Normal"/>
    <w:rsid w:val="00F613A7"/>
    <w:pPr>
      <w:adjustRightInd w:val="0"/>
      <w:snapToGrid w:val="0"/>
      <w:ind w:left="567"/>
    </w:pPr>
    <w:rPr>
      <w:rFonts w:cs="Arial"/>
      <w:kern w:val="2"/>
      <w:sz w:val="21"/>
      <w:szCs w:val="21"/>
      <w:lang w:val="en-US" w:eastAsia="zh-CN" w:bidi="ar-SA"/>
    </w:rPr>
  </w:style>
  <w:style w:type="paragraph" w:styleId="Index5">
    <w:name w:val="index 5"/>
    <w:basedOn w:val="Normal"/>
    <w:next w:val="Normal"/>
    <w:autoRedefine/>
    <w:semiHidden/>
    <w:rsid w:val="00446256"/>
    <w:pPr>
      <w:ind w:left="1050" w:hanging="210"/>
    </w:pPr>
    <w:rPr>
      <w:sz w:val="20"/>
      <w:szCs w:val="20"/>
    </w:rPr>
  </w:style>
  <w:style w:type="paragraph" w:styleId="Index6">
    <w:name w:val="index 6"/>
    <w:basedOn w:val="Normal"/>
    <w:next w:val="Normal"/>
    <w:autoRedefine/>
    <w:semiHidden/>
    <w:rsid w:val="00446256"/>
    <w:pPr>
      <w:ind w:left="1260" w:hanging="210"/>
    </w:pPr>
    <w:rPr>
      <w:sz w:val="20"/>
      <w:szCs w:val="20"/>
    </w:rPr>
  </w:style>
  <w:style w:type="paragraph" w:styleId="Index7">
    <w:name w:val="index 7"/>
    <w:basedOn w:val="Normal"/>
    <w:next w:val="Normal"/>
    <w:autoRedefine/>
    <w:semiHidden/>
    <w:rsid w:val="00446256"/>
    <w:pPr>
      <w:ind w:left="1470" w:hanging="210"/>
    </w:pPr>
    <w:rPr>
      <w:sz w:val="20"/>
      <w:szCs w:val="20"/>
    </w:rPr>
  </w:style>
  <w:style w:type="paragraph" w:styleId="Index8">
    <w:name w:val="index 8"/>
    <w:basedOn w:val="Normal"/>
    <w:next w:val="Normal"/>
    <w:autoRedefine/>
    <w:semiHidden/>
    <w:rsid w:val="00446256"/>
    <w:pPr>
      <w:ind w:left="1680" w:hanging="210"/>
    </w:pPr>
    <w:rPr>
      <w:sz w:val="20"/>
      <w:szCs w:val="20"/>
    </w:rPr>
  </w:style>
  <w:style w:type="paragraph" w:styleId="Index9">
    <w:name w:val="index 9"/>
    <w:basedOn w:val="Normal"/>
    <w:next w:val="Normal"/>
    <w:autoRedefine/>
    <w:semiHidden/>
    <w:rsid w:val="00446256"/>
    <w:pPr>
      <w:ind w:left="1890" w:hanging="210"/>
    </w:pPr>
    <w:rPr>
      <w:sz w:val="20"/>
      <w:szCs w:val="20"/>
    </w:rPr>
  </w:style>
  <w:style w:type="paragraph" w:styleId="TableofFigures">
    <w:name w:val="table of figures"/>
    <w:basedOn w:val="Normal"/>
    <w:next w:val="Normal"/>
    <w:semiHidden/>
    <w:rsid w:val="00A82433"/>
    <w:pPr>
      <w:spacing w:afterLines="50"/>
      <w:ind w:leftChars="300"/>
    </w:pPr>
    <w:rPr>
      <w:sz w:val="20"/>
      <w:szCs w:val="20"/>
    </w:rPr>
  </w:style>
  <w:style w:type="paragraph" w:styleId="DocumentMap">
    <w:name w:val="Document Map"/>
    <w:basedOn w:val="Normal"/>
    <w:semiHidden/>
    <w:rsid w:val="00AB5406"/>
    <w:pPr>
      <w:shd w:val="clear" w:color="auto" w:fill="000080"/>
    </w:pPr>
  </w:style>
  <w:style w:type="paragraph" w:styleId="Footer">
    <w:name w:val="footer"/>
    <w:basedOn w:val="HeadingLeft"/>
    <w:semiHidden/>
    <w:rsid w:val="00446256"/>
    <w:pPr>
      <w:spacing w:before="200" w:after="200"/>
      <w:jc w:val="center"/>
    </w:pPr>
    <w:rPr>
      <w:rFonts w:cs="Times New Roman"/>
      <w:b/>
      <w:bCs/>
      <w:sz w:val="22"/>
      <w:szCs w:val="22"/>
    </w:rPr>
  </w:style>
  <w:style w:type="paragraph" w:customStyle="1" w:styleId="TerminalDisplayinTable">
    <w:name w:val="Terminal Display in Table"/>
    <w:rsid w:val="00DA235C"/>
    <w:pPr>
      <w:widowControl w:val="0"/>
      <w:shd w:val="clear" w:color="auto" w:fill="F2F2F2"/>
      <w:adjustRightInd w:val="0"/>
      <w:snapToGrid w:val="0"/>
      <w:spacing w:before="80" w:after="80" w:line="240" w:lineRule="atLeast"/>
    </w:pPr>
    <w:rPr>
      <w:rFonts w:ascii="Courier New" w:hAnsi="Courier New" w:cs="Courier New"/>
      <w:snapToGrid w:val="0"/>
      <w:sz w:val="16"/>
      <w:szCs w:val="16"/>
      <w:lang w:val="en-US" w:eastAsia="zh-CN" w:bidi="ar-SA"/>
    </w:rPr>
  </w:style>
  <w:style w:type="paragraph" w:styleId="Header">
    <w:name w:val="header"/>
    <w:basedOn w:val="Normal"/>
    <w:semiHidden/>
    <w:rsid w:val="00450A20"/>
    <w:pPr>
      <w:tabs>
        <w:tab w:val="center" w:pos="4153"/>
        <w:tab w:val="right" w:pos="8306"/>
      </w:tabs>
      <w:spacing w:before="0" w:after="0"/>
      <w:ind w:left="0"/>
      <w:jc w:val="right"/>
    </w:pPr>
    <w:rPr>
      <w:sz w:val="18"/>
      <w:szCs w:val="18"/>
    </w:rPr>
  </w:style>
  <w:style w:type="character" w:styleId="Hyperlink">
    <w:name w:val="Hyperlink"/>
    <w:rsid w:val="004D5212"/>
    <w:rPr>
      <w:color w:val="0000FF"/>
      <w:u w:val="none"/>
    </w:rPr>
  </w:style>
  <w:style w:type="paragraph" w:customStyle="1" w:styleId="Cover2">
    <w:name w:val="Cover 2"/>
    <w:autoRedefine/>
    <w:rsid w:val="003615C4"/>
    <w:pPr>
      <w:adjustRightInd w:val="0"/>
      <w:snapToGrid w:val="0"/>
    </w:pPr>
    <w:rPr>
      <w:rFonts w:ascii="Arial" w:eastAsia="Arial" w:cs="Arial"/>
      <w:noProof/>
      <w:sz w:val="32"/>
      <w:szCs w:val="32"/>
      <w:lang w:val="en-US" w:eastAsia="en-US" w:bidi="ar-SA"/>
    </w:rPr>
  </w:style>
  <w:style w:type="paragraph" w:customStyle="1" w:styleId="CoverText">
    <w:name w:val="Cover Text"/>
    <w:autoRedefine/>
    <w:rsid w:val="003615C4"/>
    <w:pPr>
      <w:adjustRightInd w:val="0"/>
      <w:snapToGrid w:val="0"/>
      <w:spacing w:before="80" w:after="80" w:line="240" w:lineRule="atLeast"/>
      <w:jc w:val="both"/>
    </w:pPr>
    <w:rPr>
      <w:rFonts w:ascii="Arial" w:eastAsia="黑体" w:cs="Arial"/>
      <w:snapToGrid w:val="0"/>
      <w:lang w:val="en-US" w:eastAsia="zh-CN" w:bidi="ar-SA"/>
    </w:rPr>
  </w:style>
  <w:style w:type="paragraph" w:customStyle="1" w:styleId="Cover5">
    <w:name w:val="Cover 5"/>
    <w:basedOn w:val="Normal"/>
    <w:autoRedefine/>
    <w:rsid w:val="003615C4"/>
    <w:pPr>
      <w:widowControl w:val="0"/>
      <w:spacing w:before="0" w:after="0" w:line="240" w:lineRule="auto"/>
      <w:ind w:left="0"/>
    </w:pPr>
    <w:rPr>
      <w:rFonts w:ascii="Arial" w:eastAsia="黑体" w:hAnsi="Arial"/>
      <w:sz w:val="18"/>
      <w:szCs w:val="18"/>
    </w:rPr>
  </w:style>
  <w:style w:type="paragraph" w:customStyle="1" w:styleId="Cover4">
    <w:name w:val="Cover 4"/>
    <w:basedOn w:val="Normal"/>
    <w:rsid w:val="00F613A7"/>
    <w:pPr>
      <w:widowControl w:val="0"/>
      <w:topLinePunct w:val="0"/>
      <w:spacing w:before="0" w:after="0" w:line="240" w:lineRule="auto"/>
      <w:ind w:left="0"/>
    </w:pPr>
    <w:rPr>
      <w:rFonts w:ascii="Arial" w:eastAsia="黑体" w:hAnsi="Arial"/>
      <w:b/>
      <w:bCs/>
      <w:spacing w:val="-4"/>
      <w:sz w:val="21"/>
      <w:szCs w:val="21"/>
    </w:rPr>
  </w:style>
  <w:style w:type="numbering" w:styleId="1ai">
    <w:name w:val="Outline List 1"/>
    <w:basedOn w:val="NoList"/>
    <w:semiHidden/>
    <w:rsid w:val="005327F2"/>
    <w:pPr>
      <w:numPr>
        <w:numId w:val="16"/>
      </w:numPr>
    </w:pPr>
  </w:style>
  <w:style w:type="paragraph" w:customStyle="1" w:styleId="TableHeading">
    <w:name w:val="Table Heading"/>
    <w:basedOn w:val="Normal"/>
    <w:rsid w:val="00D1025A"/>
    <w:pPr>
      <w:widowControl w:val="0"/>
      <w:spacing w:before="80" w:after="80"/>
      <w:ind w:left="0"/>
    </w:pPr>
    <w:rPr>
      <w:rFonts w:ascii="Book Antiqua" w:eastAsia="黑体" w:hAnsi="Book Antiqua" w:cs="Book Antiqua"/>
      <w:b/>
      <w:bCs/>
      <w:snapToGrid w:val="0"/>
      <w:kern w:val="0"/>
    </w:rPr>
  </w:style>
  <w:style w:type="paragraph" w:customStyle="1" w:styleId="TableText">
    <w:name w:val="Table Text"/>
    <w:basedOn w:val="Normal"/>
    <w:rsid w:val="00D1025A"/>
    <w:pPr>
      <w:widowControl w:val="0"/>
      <w:spacing w:before="80" w:after="80"/>
      <w:ind w:left="0"/>
    </w:pPr>
    <w:rPr>
      <w:snapToGrid w:val="0"/>
      <w:kern w:val="0"/>
    </w:rPr>
  </w:style>
  <w:style w:type="paragraph" w:customStyle="1" w:styleId="HeadingMiddle">
    <w:name w:val="Heading Middle"/>
    <w:rsid w:val="00A05971"/>
    <w:pPr>
      <w:adjustRightInd w:val="0"/>
      <w:snapToGrid w:val="0"/>
      <w:spacing w:line="240" w:lineRule="atLeast"/>
      <w:jc w:val="center"/>
    </w:pPr>
    <w:rPr>
      <w:rFonts w:cs="Times New Roman"/>
      <w:snapToGrid w:val="0"/>
      <w:lang w:val="en-US" w:eastAsia="zh-CN" w:bidi="ar-SA"/>
    </w:rPr>
  </w:style>
  <w:style w:type="paragraph" w:styleId="Macro">
    <w:name w:val="macro"/>
    <w:semiHidden/>
    <w:rsid w:val="00CB6A0F"/>
    <w:pPr>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adjustRightInd w:val="0"/>
      <w:snapToGrid w:val="0"/>
      <w:spacing w:before="160" w:after="160"/>
      <w:ind w:left="1701"/>
    </w:pPr>
    <w:rPr>
      <w:rFonts w:ascii="Courier New" w:hAnsi="Courier New" w:cs="Courier New"/>
      <w:kern w:val="2"/>
      <w:sz w:val="24"/>
      <w:szCs w:val="24"/>
      <w:lang w:val="en-US" w:eastAsia="zh-CN" w:bidi="ar-SA"/>
    </w:rPr>
  </w:style>
  <w:style w:type="paragraph" w:styleId="FootnoteText">
    <w:name w:val="footnote text"/>
    <w:basedOn w:val="Normal"/>
    <w:semiHidden/>
    <w:rsid w:val="00CB6A0F"/>
    <w:rPr>
      <w:sz w:val="18"/>
      <w:szCs w:val="18"/>
    </w:rPr>
  </w:style>
  <w:style w:type="character" w:styleId="FootnoteReference">
    <w:name w:val="footnote reference"/>
    <w:basedOn w:val="DefaultParagraphFont"/>
    <w:semiHidden/>
    <w:rsid w:val="00CB6A0F"/>
    <w:rPr>
      <w:vertAlign w:val="superscript"/>
    </w:rPr>
  </w:style>
  <w:style w:type="paragraph" w:styleId="BalloonText">
    <w:name w:val="Balloon Text"/>
    <w:basedOn w:val="Normal"/>
    <w:semiHidden/>
    <w:rsid w:val="00CB6A0F"/>
    <w:rPr>
      <w:sz w:val="18"/>
      <w:szCs w:val="18"/>
    </w:rPr>
  </w:style>
  <w:style w:type="paragraph" w:styleId="CommentText">
    <w:name w:val="annotation text"/>
    <w:basedOn w:val="Normal"/>
    <w:semiHidden/>
    <w:rsid w:val="00CB6A0F"/>
  </w:style>
  <w:style w:type="character" w:styleId="CommentReference">
    <w:name w:val="annotation reference"/>
    <w:basedOn w:val="DefaultParagraphFont"/>
    <w:semiHidden/>
    <w:rsid w:val="00CB6A0F"/>
    <w:rPr>
      <w:sz w:val="21"/>
      <w:szCs w:val="21"/>
    </w:rPr>
  </w:style>
  <w:style w:type="paragraph" w:styleId="CommentSubject">
    <w:name w:val="annotation subject"/>
    <w:basedOn w:val="CommentText"/>
    <w:next w:val="CommentText"/>
    <w:semiHidden/>
    <w:rsid w:val="00CB6A0F"/>
    <w:rPr>
      <w:b/>
      <w:bCs/>
    </w:rPr>
  </w:style>
  <w:style w:type="paragraph" w:styleId="Index4">
    <w:name w:val="index 4"/>
    <w:basedOn w:val="Normal"/>
    <w:next w:val="Normal"/>
    <w:autoRedefine/>
    <w:semiHidden/>
    <w:rsid w:val="00CB6A0F"/>
    <w:pPr>
      <w:ind w:left="1260"/>
    </w:pPr>
  </w:style>
  <w:style w:type="paragraph" w:styleId="IndexHeading">
    <w:name w:val="index heading"/>
    <w:basedOn w:val="Normal"/>
    <w:next w:val="Normal"/>
    <w:semiHidden/>
    <w:rsid w:val="00F613A7"/>
    <w:pPr>
      <w:widowControl w:val="0"/>
      <w:topLinePunct w:val="0"/>
      <w:spacing w:before="240" w:after="120" w:line="240" w:lineRule="auto"/>
      <w:ind w:left="0"/>
    </w:pPr>
    <w:rPr>
      <w:rFonts w:ascii="Book Antiqua" w:hAnsi="Book Antiqua"/>
      <w:b/>
      <w:bCs/>
      <w:iCs/>
      <w:sz w:val="26"/>
      <w:szCs w:val="26"/>
    </w:rPr>
  </w:style>
  <w:style w:type="paragraph" w:styleId="Caption">
    <w:name w:val="caption"/>
    <w:basedOn w:val="Normal"/>
    <w:next w:val="Normal"/>
    <w:semiHidden/>
    <w:qFormat/>
    <w:rsid w:val="00CB6A0F"/>
    <w:pPr>
      <w:spacing w:before="152"/>
    </w:pPr>
    <w:rPr>
      <w:rFonts w:ascii="Arial" w:eastAsia="黑体" w:hAnsi="Arial"/>
      <w:sz w:val="20"/>
      <w:szCs w:val="20"/>
    </w:rPr>
  </w:style>
  <w:style w:type="paragraph" w:styleId="EndnoteText">
    <w:name w:val="endnote text"/>
    <w:basedOn w:val="Normal"/>
    <w:semiHidden/>
    <w:rsid w:val="00CB6A0F"/>
  </w:style>
  <w:style w:type="character" w:styleId="EndnoteReference">
    <w:name w:val="endnote reference"/>
    <w:basedOn w:val="DefaultParagraphFont"/>
    <w:semiHidden/>
    <w:rsid w:val="00CB6A0F"/>
    <w:rPr>
      <w:vertAlign w:val="superscript"/>
    </w:rPr>
  </w:style>
  <w:style w:type="paragraph" w:styleId="TableofAuthorities">
    <w:name w:val="table of authorities"/>
    <w:basedOn w:val="Normal"/>
    <w:next w:val="Normal"/>
    <w:semiHidden/>
    <w:rsid w:val="00CB6A0F"/>
    <w:pPr>
      <w:ind w:left="420"/>
    </w:pPr>
  </w:style>
  <w:style w:type="paragraph" w:styleId="TOAHeading">
    <w:name w:val="toa heading"/>
    <w:basedOn w:val="Normal"/>
    <w:next w:val="Normal"/>
    <w:semiHidden/>
    <w:rsid w:val="00CB6A0F"/>
    <w:pPr>
      <w:spacing w:before="120"/>
    </w:pPr>
    <w:rPr>
      <w:rFonts w:ascii="Arial" w:hAnsi="Arial"/>
    </w:rPr>
  </w:style>
  <w:style w:type="paragraph" w:customStyle="1" w:styleId="Contents">
    <w:name w:val="Contents"/>
    <w:basedOn w:val="Heading1NoNumber"/>
    <w:rsid w:val="00B937D5"/>
    <w:rPr>
      <w:rFonts w:eastAsia="黑体"/>
    </w:rPr>
  </w:style>
  <w:style w:type="character" w:styleId="HTMLVariable">
    <w:name w:val="HTML Variable"/>
    <w:basedOn w:val="DefaultParagraphFont"/>
    <w:semiHidden/>
    <w:rsid w:val="00176DF9"/>
    <w:rPr>
      <w:i/>
      <w:iCs/>
    </w:rPr>
  </w:style>
  <w:style w:type="character" w:styleId="HTMLTypewriter">
    <w:name w:val="HTML Typewriter"/>
    <w:basedOn w:val="DefaultParagraphFont"/>
    <w:semiHidden/>
    <w:rsid w:val="00176DF9"/>
    <w:rPr>
      <w:rFonts w:ascii="Courier New" w:hAnsi="Courier New" w:cs="Courier New"/>
      <w:sz w:val="20"/>
      <w:szCs w:val="20"/>
    </w:rPr>
  </w:style>
  <w:style w:type="character" w:styleId="HTMLCode">
    <w:name w:val="HTML Code"/>
    <w:basedOn w:val="DefaultParagraphFont"/>
    <w:semiHidden/>
    <w:rsid w:val="00176DF9"/>
    <w:rPr>
      <w:rFonts w:ascii="Courier New" w:hAnsi="Courier New" w:cs="Courier New"/>
      <w:sz w:val="20"/>
      <w:szCs w:val="20"/>
    </w:rPr>
  </w:style>
  <w:style w:type="paragraph" w:styleId="HTMLAddress">
    <w:name w:val="HTML Address"/>
    <w:basedOn w:val="Normal"/>
    <w:semiHidden/>
    <w:rsid w:val="00176DF9"/>
    <w:rPr>
      <w:i/>
      <w:iCs/>
    </w:rPr>
  </w:style>
  <w:style w:type="character" w:styleId="HTMLDefinition">
    <w:name w:val="HTML Definition"/>
    <w:basedOn w:val="DefaultParagraphFont"/>
    <w:semiHidden/>
    <w:rsid w:val="00176DF9"/>
    <w:rPr>
      <w:i/>
      <w:iCs/>
    </w:rPr>
  </w:style>
  <w:style w:type="character" w:styleId="HTMLKeyboard">
    <w:name w:val="HTML Keyboard"/>
    <w:basedOn w:val="DefaultParagraphFont"/>
    <w:semiHidden/>
    <w:rsid w:val="00176DF9"/>
    <w:rPr>
      <w:rFonts w:ascii="Courier New" w:hAnsi="Courier New" w:cs="Courier New"/>
      <w:sz w:val="20"/>
      <w:szCs w:val="20"/>
    </w:rPr>
  </w:style>
  <w:style w:type="character" w:styleId="HTMLAcronym">
    <w:name w:val="HTML Acronym"/>
    <w:basedOn w:val="DefaultParagraphFont"/>
    <w:semiHidden/>
    <w:rsid w:val="00176DF9"/>
  </w:style>
  <w:style w:type="character" w:styleId="HTMLSample">
    <w:name w:val="HTML Sample"/>
    <w:basedOn w:val="DefaultParagraphFont"/>
    <w:semiHidden/>
    <w:rsid w:val="00176DF9"/>
    <w:rPr>
      <w:rFonts w:ascii="Courier New" w:hAnsi="Courier New" w:cs="Courier New"/>
    </w:rPr>
  </w:style>
  <w:style w:type="character" w:styleId="HTMLCite">
    <w:name w:val="HTML Cite"/>
    <w:basedOn w:val="DefaultParagraphFont"/>
    <w:semiHidden/>
    <w:rsid w:val="00176DF9"/>
    <w:rPr>
      <w:i/>
      <w:iCs/>
    </w:rPr>
  </w:style>
  <w:style w:type="paragraph" w:styleId="HTMLPreformatted">
    <w:name w:val="HTML Preformatted"/>
    <w:basedOn w:val="Normal"/>
    <w:semiHidden/>
    <w:rsid w:val="00176DF9"/>
    <w:rPr>
      <w:rFonts w:ascii="Courier New" w:hAnsi="Courier New" w:cs="Courier New"/>
      <w:sz w:val="20"/>
      <w:szCs w:val="20"/>
    </w:rPr>
  </w:style>
  <w:style w:type="table" w:styleId="TableWeb1">
    <w:name w:val="Table Web 1"/>
    <w:basedOn w:val="TableNormal"/>
    <w:semiHidden/>
    <w:rsid w:val="00176DF9"/>
    <w:pPr>
      <w:adjustRightInd w:val="0"/>
      <w:snapToGrid w:val="0"/>
      <w:spacing w:before="160" w:after="160" w:line="240" w:lineRule="atLeast"/>
      <w:ind w:left="1701"/>
    </w:p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176DF9"/>
    <w:pPr>
      <w:adjustRightInd w:val="0"/>
      <w:snapToGrid w:val="0"/>
      <w:spacing w:before="160" w:after="160" w:line="240" w:lineRule="atLeast"/>
      <w:ind w:left="1701"/>
    </w:p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176DF9"/>
    <w:pPr>
      <w:adjustRightInd w:val="0"/>
      <w:snapToGrid w:val="0"/>
      <w:spacing w:before="160" w:after="160" w:line="240" w:lineRule="atLeast"/>
      <w:ind w:left="1701"/>
    </w:p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Theme">
    <w:name w:val="Table Theme"/>
    <w:basedOn w:val="TableNormal"/>
    <w:semiHidden/>
    <w:rsid w:val="00176DF9"/>
    <w:pPr>
      <w:adjustRightInd w:val="0"/>
      <w:snapToGrid w:val="0"/>
      <w:spacing w:before="160" w:after="160" w:line="240" w:lineRule="atLeast"/>
      <w:ind w:left="1701"/>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Colorful1">
    <w:name w:val="Table Colorful 1"/>
    <w:basedOn w:val="TableNormal"/>
    <w:semiHidden/>
    <w:rsid w:val="00176DF9"/>
    <w:pPr>
      <w:adjustRightInd w:val="0"/>
      <w:snapToGrid w:val="0"/>
      <w:spacing w:before="160" w:after="160" w:line="240" w:lineRule="atLeast"/>
      <w:ind w:left="1701"/>
    </w:pPr>
    <w:rPr>
      <w:color w:val="FFFFFF"/>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176DF9"/>
    <w:pPr>
      <w:adjustRightInd w:val="0"/>
      <w:snapToGrid w:val="0"/>
      <w:spacing w:before="160" w:after="160" w:line="240" w:lineRule="atLeast"/>
      <w:ind w:left="1701"/>
    </w:p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176DF9"/>
    <w:pPr>
      <w:adjustRightInd w:val="0"/>
      <w:snapToGrid w:val="0"/>
      <w:spacing w:before="160" w:after="160" w:line="240" w:lineRule="atLeast"/>
      <w:ind w:left="1701"/>
    </w:p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Salutation">
    <w:name w:val="Salutation"/>
    <w:basedOn w:val="Normal"/>
    <w:next w:val="Normal"/>
    <w:semiHidden/>
    <w:rsid w:val="00176DF9"/>
  </w:style>
  <w:style w:type="paragraph" w:styleId="PlainText">
    <w:name w:val="Plain Text"/>
    <w:basedOn w:val="Normal"/>
    <w:semiHidden/>
    <w:rsid w:val="00176DF9"/>
    <w:rPr>
      <w:rFonts w:ascii="宋体" w:hAnsi="Courier New" w:cs="Courier New"/>
    </w:rPr>
  </w:style>
  <w:style w:type="table" w:styleId="TableElegant">
    <w:name w:val="Table Elegant"/>
    <w:basedOn w:val="TableNormal"/>
    <w:semiHidden/>
    <w:rsid w:val="00176DF9"/>
    <w:pPr>
      <w:adjustRightInd w:val="0"/>
      <w:snapToGrid w:val="0"/>
      <w:spacing w:before="160" w:after="160" w:line="240" w:lineRule="atLeast"/>
      <w:ind w:left="1701"/>
    </w:p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Signature">
    <w:name w:val="E-mail Signature"/>
    <w:basedOn w:val="Normal"/>
    <w:semiHidden/>
    <w:rsid w:val="00176DF9"/>
  </w:style>
  <w:style w:type="paragraph" w:styleId="Subtitle">
    <w:name w:val="Subtitle"/>
    <w:basedOn w:val="Normal"/>
    <w:semiHidden/>
    <w:qFormat/>
    <w:rsid w:val="00176DF9"/>
    <w:pPr>
      <w:spacing w:before="240" w:after="60" w:line="312" w:lineRule="atLeast"/>
      <w:jc w:val="center"/>
      <w:outlineLvl w:val="1"/>
    </w:pPr>
    <w:rPr>
      <w:rFonts w:ascii="Arial" w:hAnsi="Arial"/>
      <w:b/>
      <w:bCs/>
      <w:kern w:val="28"/>
      <w:sz w:val="32"/>
      <w:szCs w:val="32"/>
    </w:rPr>
  </w:style>
  <w:style w:type="table" w:styleId="TableClassic1">
    <w:name w:val="Table Classic 1"/>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176DF9"/>
    <w:pPr>
      <w:adjustRightInd w:val="0"/>
      <w:snapToGrid w:val="0"/>
      <w:spacing w:before="160" w:after="160" w:line="240" w:lineRule="atLeast"/>
      <w:ind w:left="1701"/>
    </w:pPr>
    <w:rPr>
      <w:color w:val="00008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EnvelopeReturn">
    <w:name w:val="envelope return"/>
    <w:basedOn w:val="Normal"/>
    <w:semiHidden/>
    <w:rsid w:val="00176DF9"/>
    <w:rPr>
      <w:rFonts w:ascii="Arial" w:hAnsi="Arial"/>
    </w:rPr>
  </w:style>
  <w:style w:type="table" w:styleId="TableSimple1">
    <w:name w:val="Table Simple 1"/>
    <w:basedOn w:val="TableNormal"/>
    <w:semiHidden/>
    <w:rsid w:val="00176DF9"/>
    <w:pPr>
      <w:adjustRightInd w:val="0"/>
      <w:snapToGrid w:val="0"/>
      <w:spacing w:before="160" w:after="160" w:line="240" w:lineRule="atLeast"/>
      <w:ind w:left="1701"/>
    </w:p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Closing">
    <w:name w:val="Closing"/>
    <w:basedOn w:val="Normal"/>
    <w:semiHidden/>
    <w:rsid w:val="00176DF9"/>
    <w:pPr>
      <w:ind w:leftChars="2100"/>
    </w:pPr>
  </w:style>
  <w:style w:type="table" w:styleId="TableSubtle1">
    <w:name w:val="Table Subtle 1"/>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176DF9"/>
    <w:pPr>
      <w:adjustRightInd w:val="0"/>
      <w:snapToGrid w:val="0"/>
      <w:spacing w:before="160" w:after="160" w:line="240" w:lineRule="atLeast"/>
      <w:ind w:left="1701"/>
    </w:p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1">
    <w:name w:val="Table 3D effects 1"/>
    <w:basedOn w:val="TableNormal"/>
    <w:semiHidden/>
    <w:rsid w:val="00176DF9"/>
    <w:pPr>
      <w:adjustRightInd w:val="0"/>
      <w:snapToGrid w:val="0"/>
      <w:spacing w:before="160" w:after="160" w:line="240" w:lineRule="atLeast"/>
      <w:ind w:left="1701"/>
    </w:p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176DF9"/>
    <w:pPr>
      <w:adjustRightInd w:val="0"/>
      <w:snapToGrid w:val="0"/>
      <w:spacing w:before="160" w:after="160" w:line="240" w:lineRule="atLeast"/>
      <w:ind w:left="1701"/>
    </w:p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176DF9"/>
    <w:pPr>
      <w:adjustRightInd w:val="0"/>
      <w:snapToGrid w:val="0"/>
      <w:spacing w:before="160" w:after="160" w:line="240" w:lineRule="atLeast"/>
      <w:ind w:left="1701"/>
    </w:p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List">
    <w:name w:val="List"/>
    <w:basedOn w:val="Normal"/>
    <w:semiHidden/>
    <w:rsid w:val="00176DF9"/>
    <w:pPr>
      <w:ind w:left="200" w:hangingChars="200"/>
    </w:pPr>
  </w:style>
  <w:style w:type="paragraph" w:styleId="List2">
    <w:name w:val="List 2"/>
    <w:basedOn w:val="Normal"/>
    <w:semiHidden/>
    <w:rsid w:val="00176DF9"/>
    <w:pPr>
      <w:ind w:leftChars="200" w:hangingChars="200"/>
    </w:pPr>
  </w:style>
  <w:style w:type="paragraph" w:styleId="List3">
    <w:name w:val="List 3"/>
    <w:basedOn w:val="Normal"/>
    <w:semiHidden/>
    <w:rsid w:val="00176DF9"/>
    <w:pPr>
      <w:ind w:leftChars="400" w:hangingChars="200"/>
    </w:pPr>
  </w:style>
  <w:style w:type="paragraph" w:styleId="List4">
    <w:name w:val="List 4"/>
    <w:basedOn w:val="Normal"/>
    <w:semiHidden/>
    <w:rsid w:val="00176DF9"/>
    <w:pPr>
      <w:ind w:leftChars="600" w:hangingChars="200"/>
    </w:pPr>
  </w:style>
  <w:style w:type="paragraph" w:styleId="List5">
    <w:name w:val="List 5"/>
    <w:basedOn w:val="Normal"/>
    <w:semiHidden/>
    <w:rsid w:val="00176DF9"/>
    <w:pPr>
      <w:ind w:leftChars="800" w:hangingChars="200"/>
    </w:pPr>
  </w:style>
  <w:style w:type="paragraph" w:styleId="ListNumber">
    <w:name w:val="List Number"/>
    <w:basedOn w:val="Normal"/>
    <w:semiHidden/>
    <w:rsid w:val="00176DF9"/>
    <w:pPr>
      <w:numPr>
        <w:numId w:val="4"/>
      </w:numPr>
    </w:pPr>
  </w:style>
  <w:style w:type="paragraph" w:styleId="ListNumber2">
    <w:name w:val="List Number 2"/>
    <w:basedOn w:val="Normal"/>
    <w:semiHidden/>
    <w:rsid w:val="00176DF9"/>
    <w:pPr>
      <w:numPr>
        <w:numId w:val="5"/>
      </w:numPr>
    </w:pPr>
  </w:style>
  <w:style w:type="paragraph" w:styleId="ListNumber3">
    <w:name w:val="List Number 3"/>
    <w:basedOn w:val="Normal"/>
    <w:semiHidden/>
    <w:rsid w:val="00176DF9"/>
    <w:pPr>
      <w:numPr>
        <w:numId w:val="6"/>
      </w:numPr>
    </w:pPr>
  </w:style>
  <w:style w:type="paragraph" w:styleId="ListNumber4">
    <w:name w:val="List Number 4"/>
    <w:basedOn w:val="Normal"/>
    <w:semiHidden/>
    <w:rsid w:val="00176DF9"/>
    <w:pPr>
      <w:numPr>
        <w:numId w:val="7"/>
      </w:numPr>
    </w:pPr>
  </w:style>
  <w:style w:type="paragraph" w:styleId="ListNumber5">
    <w:name w:val="List Number 5"/>
    <w:basedOn w:val="Normal"/>
    <w:semiHidden/>
    <w:rsid w:val="00176DF9"/>
    <w:pPr>
      <w:numPr>
        <w:numId w:val="8"/>
      </w:numPr>
    </w:pPr>
  </w:style>
  <w:style w:type="paragraph" w:styleId="ListContinue">
    <w:name w:val="List Continue"/>
    <w:basedOn w:val="Normal"/>
    <w:semiHidden/>
    <w:rsid w:val="00176DF9"/>
    <w:pPr>
      <w:spacing w:after="120"/>
      <w:ind w:leftChars="200"/>
    </w:pPr>
  </w:style>
  <w:style w:type="paragraph" w:styleId="ListContinue2">
    <w:name w:val="List Continue 2"/>
    <w:basedOn w:val="Normal"/>
    <w:semiHidden/>
    <w:rsid w:val="00176DF9"/>
    <w:pPr>
      <w:spacing w:after="120"/>
      <w:ind w:leftChars="400"/>
    </w:pPr>
  </w:style>
  <w:style w:type="paragraph" w:styleId="ListContinue3">
    <w:name w:val="List Continue 3"/>
    <w:basedOn w:val="Normal"/>
    <w:semiHidden/>
    <w:rsid w:val="00176DF9"/>
    <w:pPr>
      <w:spacing w:after="120"/>
      <w:ind w:leftChars="600"/>
    </w:pPr>
  </w:style>
  <w:style w:type="paragraph" w:styleId="ListContinue4">
    <w:name w:val="List Continue 4"/>
    <w:basedOn w:val="Normal"/>
    <w:semiHidden/>
    <w:rsid w:val="00176DF9"/>
    <w:pPr>
      <w:spacing w:after="120"/>
      <w:ind w:leftChars="800"/>
    </w:pPr>
  </w:style>
  <w:style w:type="paragraph" w:styleId="ListContinue5">
    <w:name w:val="List Continue 5"/>
    <w:basedOn w:val="Normal"/>
    <w:semiHidden/>
    <w:rsid w:val="00176DF9"/>
    <w:pPr>
      <w:spacing w:after="120"/>
      <w:ind w:leftChars="1000"/>
    </w:pPr>
  </w:style>
  <w:style w:type="paragraph" w:styleId="ListBullet">
    <w:name w:val="List Bullet"/>
    <w:basedOn w:val="Normal"/>
    <w:autoRedefine/>
    <w:semiHidden/>
    <w:rsid w:val="00176DF9"/>
    <w:pPr>
      <w:numPr>
        <w:numId w:val="9"/>
      </w:numPr>
    </w:pPr>
  </w:style>
  <w:style w:type="paragraph" w:styleId="ListBullet2">
    <w:name w:val="List Bullet 2"/>
    <w:basedOn w:val="Normal"/>
    <w:autoRedefine/>
    <w:semiHidden/>
    <w:rsid w:val="00176DF9"/>
    <w:pPr>
      <w:numPr>
        <w:numId w:val="10"/>
      </w:numPr>
    </w:pPr>
  </w:style>
  <w:style w:type="paragraph" w:styleId="ListBullet3">
    <w:name w:val="List Bullet 3"/>
    <w:basedOn w:val="Normal"/>
    <w:autoRedefine/>
    <w:semiHidden/>
    <w:rsid w:val="00176DF9"/>
    <w:pPr>
      <w:numPr>
        <w:numId w:val="11"/>
      </w:numPr>
    </w:pPr>
  </w:style>
  <w:style w:type="paragraph" w:styleId="ListBullet4">
    <w:name w:val="List Bullet 4"/>
    <w:basedOn w:val="Normal"/>
    <w:autoRedefine/>
    <w:semiHidden/>
    <w:rsid w:val="00176DF9"/>
    <w:pPr>
      <w:numPr>
        <w:numId w:val="12"/>
      </w:numPr>
    </w:pPr>
  </w:style>
  <w:style w:type="paragraph" w:styleId="ListBullet5">
    <w:name w:val="List Bullet 5"/>
    <w:basedOn w:val="Normal"/>
    <w:autoRedefine/>
    <w:semiHidden/>
    <w:rsid w:val="00176DF9"/>
    <w:pPr>
      <w:numPr>
        <w:numId w:val="13"/>
      </w:numPr>
    </w:pPr>
  </w:style>
  <w:style w:type="table" w:styleId="TableList1">
    <w:name w:val="Table List 1"/>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176DF9"/>
    <w:pPr>
      <w:adjustRightInd w:val="0"/>
      <w:snapToGrid w:val="0"/>
      <w:spacing w:before="160" w:after="160" w:line="240" w:lineRule="atLeast"/>
      <w:ind w:left="1701"/>
    </w:p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176DF9"/>
    <w:pPr>
      <w:adjustRightInd w:val="0"/>
      <w:snapToGrid w:val="0"/>
      <w:spacing w:before="160" w:after="160" w:line="240" w:lineRule="atLeast"/>
      <w:ind w:left="1701"/>
    </w:p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tblStylePr w:type="nwCell">
      <w:tblPr/>
      <w:tcPr>
        <w:tcBorders>
          <w:tl2br w:val="single" w:sz="6" w:space="0" w:color="000000"/>
          <w:tr2bl w:val="none" w:sz="0" w:space="0" w:color="auto"/>
        </w:tcBorders>
      </w:tcPr>
    </w:tblStylePr>
  </w:style>
  <w:style w:type="table" w:styleId="TableList7">
    <w:name w:val="Table List 7"/>
    <w:basedOn w:val="TableNormal"/>
    <w:semiHidden/>
    <w:rsid w:val="00176DF9"/>
    <w:pPr>
      <w:adjustRightInd w:val="0"/>
      <w:snapToGrid w:val="0"/>
      <w:spacing w:before="160" w:after="160" w:line="240" w:lineRule="atLeast"/>
      <w:ind w:left="1701"/>
    </w:p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176DF9"/>
    <w:pPr>
      <w:adjustRightInd w:val="0"/>
      <w:snapToGrid w:val="0"/>
      <w:spacing w:before="160" w:after="160" w:line="240" w:lineRule="atLeast"/>
      <w:ind w:left="1701"/>
    </w:p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tblStylePr w:type="nwCell">
      <w:tblPr/>
      <w:tcPr>
        <w:tcBorders>
          <w:tl2br w:val="single" w:sz="6" w:space="0" w:color="auto"/>
          <w:tr2bl w:val="none" w:sz="0" w:space="0" w:color="auto"/>
        </w:tcBorders>
      </w:tcPr>
    </w:tblStylePr>
  </w:style>
  <w:style w:type="table" w:styleId="TableContemporary">
    <w:name w:val="Table Contemporary"/>
    <w:basedOn w:val="TableNormal"/>
    <w:semiHidden/>
    <w:rsid w:val="00176DF9"/>
    <w:pPr>
      <w:adjustRightInd w:val="0"/>
      <w:snapToGrid w:val="0"/>
      <w:spacing w:before="160" w:after="160" w:line="240" w:lineRule="atLeast"/>
      <w:ind w:left="1701"/>
    </w:p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NormalWeb">
    <w:name w:val="Normal (Web)"/>
    <w:basedOn w:val="Normal"/>
    <w:semiHidden/>
    <w:rsid w:val="00176DF9"/>
    <w:rPr>
      <w:rFonts w:cs="Times New Roman"/>
    </w:rPr>
  </w:style>
  <w:style w:type="paragraph" w:styleId="Signature">
    <w:name w:val="Signature"/>
    <w:basedOn w:val="Normal"/>
    <w:semiHidden/>
    <w:rsid w:val="00176DF9"/>
    <w:pPr>
      <w:ind w:leftChars="2100"/>
    </w:pPr>
  </w:style>
  <w:style w:type="character" w:styleId="Emphasis">
    <w:name w:val="Emphasis"/>
    <w:basedOn w:val="DefaultParagraphFont"/>
    <w:semiHidden/>
    <w:qFormat/>
    <w:rsid w:val="00176DF9"/>
    <w:rPr>
      <w:i/>
      <w:iCs/>
    </w:rPr>
  </w:style>
  <w:style w:type="paragraph" w:styleId="Date">
    <w:name w:val="Date"/>
    <w:basedOn w:val="Normal"/>
    <w:next w:val="Normal"/>
    <w:semiHidden/>
    <w:rsid w:val="00176DF9"/>
    <w:pPr>
      <w:ind w:leftChars="2500"/>
    </w:pPr>
  </w:style>
  <w:style w:type="table" w:styleId="TableColumns1">
    <w:name w:val="Table Columns 1"/>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176DF9"/>
    <w:pPr>
      <w:adjustRightInd w:val="0"/>
      <w:snapToGrid w:val="0"/>
      <w:spacing w:before="160" w:after="160" w:line="240" w:lineRule="atLeast"/>
      <w:ind w:left="1701"/>
    </w:pPr>
    <w:rPr>
      <w:b/>
      <w:bC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176DF9"/>
    <w:pPr>
      <w:adjustRightInd w:val="0"/>
      <w:snapToGrid w:val="0"/>
      <w:spacing w:before="160" w:after="160" w:line="240" w:lineRule="atLeast"/>
      <w:ind w:left="1701"/>
    </w:pPr>
    <w:rPr>
      <w:b/>
      <w:bC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176DF9"/>
    <w:pPr>
      <w:adjustRightInd w:val="0"/>
      <w:snapToGrid w:val="0"/>
      <w:spacing w:before="160" w:after="160" w:line="240" w:lineRule="atLeast"/>
      <w:ind w:left="1701"/>
    </w:p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176DF9"/>
    <w:pPr>
      <w:adjustRightInd w:val="0"/>
      <w:snapToGrid w:val="0"/>
      <w:spacing w:before="160" w:after="160" w:line="240" w:lineRule="atLeast"/>
      <w:ind w:left="1701"/>
    </w:p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1">
    <w:name w:val="Table Grid 1"/>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2">
    <w:name w:val="Table Grid 2"/>
    <w:basedOn w:val="TableNormal"/>
    <w:semiHidden/>
    <w:rsid w:val="00176DF9"/>
    <w:pPr>
      <w:adjustRightInd w:val="0"/>
      <w:snapToGrid w:val="0"/>
      <w:spacing w:before="160" w:after="160" w:line="240" w:lineRule="atLeast"/>
      <w:ind w:left="1701"/>
    </w:p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176DF9"/>
    <w:pPr>
      <w:adjustRightInd w:val="0"/>
      <w:snapToGrid w:val="0"/>
      <w:spacing w:before="160" w:after="160" w:line="240" w:lineRule="atLeast"/>
      <w:ind w:left="1701"/>
    </w:p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4">
    <w:name w:val="Table Grid 4"/>
    <w:basedOn w:val="TableNormal"/>
    <w:semiHidden/>
    <w:rsid w:val="00176DF9"/>
    <w:pPr>
      <w:adjustRightInd w:val="0"/>
      <w:snapToGrid w:val="0"/>
      <w:spacing w:before="160" w:after="160" w:line="240" w:lineRule="atLeast"/>
      <w:ind w:left="1701"/>
    </w:p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176DF9"/>
    <w:pPr>
      <w:adjustRightInd w:val="0"/>
      <w:snapToGrid w:val="0"/>
      <w:spacing w:before="160" w:after="160" w:line="240" w:lineRule="atLeast"/>
      <w:ind w:left="1701"/>
    </w:p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176DF9"/>
    <w:pPr>
      <w:adjustRightInd w:val="0"/>
      <w:snapToGrid w:val="0"/>
      <w:spacing w:before="160" w:after="160" w:line="240" w:lineRule="atLeast"/>
      <w:ind w:left="1701"/>
    </w:pPr>
    <w:rPr>
      <w:b/>
      <w:bC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176DF9"/>
    <w:pPr>
      <w:adjustRightInd w:val="0"/>
      <w:snapToGrid w:val="0"/>
      <w:spacing w:before="160" w:after="160" w:line="240" w:lineRule="atLeast"/>
      <w:ind w:left="1701"/>
    </w:p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BlockText">
    <w:name w:val="Block Text"/>
    <w:basedOn w:val="Normal"/>
    <w:semiHidden/>
    <w:rsid w:val="00176DF9"/>
    <w:pPr>
      <w:spacing w:after="120"/>
      <w:ind w:leftChars="700" w:rightChars="700"/>
    </w:pPr>
  </w:style>
  <w:style w:type="numbering" w:styleId="ArticleSection">
    <w:name w:val="Outline List 3"/>
    <w:basedOn w:val="NoList"/>
    <w:semiHidden/>
    <w:rsid w:val="00176DF9"/>
    <w:pPr>
      <w:numPr>
        <w:numId w:val="14"/>
      </w:numPr>
    </w:pPr>
  </w:style>
  <w:style w:type="paragraph" w:styleId="EnvelopeAddress">
    <w:name w:val="envelope address"/>
    <w:basedOn w:val="Normal"/>
    <w:semiHidden/>
    <w:rsid w:val="00176DF9"/>
    <w:pPr>
      <w:framePr w:w="7920" w:h="1980" w:hRule="exact" w:hSpace="180" w:wrap="auto" w:hAnchor="page" w:xAlign="center" w:yAlign="bottom"/>
      <w:ind w:leftChars="1400"/>
    </w:pPr>
    <w:rPr>
      <w:rFonts w:ascii="Arial" w:hAnsi="Arial"/>
    </w:rPr>
  </w:style>
  <w:style w:type="paragraph" w:styleId="MessageHeader">
    <w:name w:val="Message Header"/>
    <w:basedOn w:val="Normal"/>
    <w:semiHidden/>
    <w:rsid w:val="00176DF9"/>
    <w:pPr>
      <w:pBdr>
        <w:top w:val="single" w:sz="6" w:space="1" w:color="auto"/>
        <w:left w:val="single" w:sz="6" w:space="1" w:color="auto"/>
        <w:bottom w:val="single" w:sz="6" w:space="1" w:color="auto"/>
        <w:right w:val="single" w:sz="6" w:space="1" w:color="auto"/>
      </w:pBdr>
      <w:shd w:val="pct20" w:color="auto" w:fill="auto"/>
      <w:ind w:leftChars="500" w:hangingChars="500"/>
    </w:pPr>
    <w:rPr>
      <w:rFonts w:ascii="Arial" w:hAnsi="Arial"/>
    </w:rPr>
  </w:style>
  <w:style w:type="character" w:styleId="LineNumber">
    <w:name w:val="line number"/>
    <w:basedOn w:val="DefaultParagraphFont"/>
    <w:semiHidden/>
    <w:rsid w:val="00176DF9"/>
  </w:style>
  <w:style w:type="character" w:styleId="Strong">
    <w:name w:val="Strong"/>
    <w:basedOn w:val="DefaultParagraphFont"/>
    <w:semiHidden/>
    <w:qFormat/>
    <w:rsid w:val="00176DF9"/>
    <w:rPr>
      <w:b/>
      <w:bCs/>
    </w:rPr>
  </w:style>
  <w:style w:type="character" w:styleId="PageNumber">
    <w:name w:val="page number"/>
    <w:basedOn w:val="DefaultParagraphFont"/>
    <w:semiHidden/>
    <w:rsid w:val="00176DF9"/>
  </w:style>
  <w:style w:type="character" w:styleId="FollowedHyperlink">
    <w:name w:val="FollowedHyperlink"/>
    <w:rsid w:val="004D5212"/>
    <w:rPr>
      <w:color w:val="800080"/>
      <w:u w:val="none"/>
    </w:rPr>
  </w:style>
  <w:style w:type="paragraph" w:styleId="BodyText">
    <w:name w:val="Body Text"/>
    <w:basedOn w:val="Normal"/>
    <w:semiHidden/>
    <w:rsid w:val="00176DF9"/>
    <w:pPr>
      <w:spacing w:after="120"/>
    </w:pPr>
  </w:style>
  <w:style w:type="paragraph" w:styleId="BodyTextFirstIndent">
    <w:name w:val="Body Text First Indent"/>
    <w:basedOn w:val="BodyText"/>
    <w:semiHidden/>
    <w:rsid w:val="00176DF9"/>
    <w:pPr>
      <w:ind w:firstLineChars="100"/>
    </w:pPr>
  </w:style>
  <w:style w:type="paragraph" w:styleId="BodyTextIndent">
    <w:name w:val="Body Text Indent"/>
    <w:basedOn w:val="Normal"/>
    <w:semiHidden/>
    <w:rsid w:val="00176DF9"/>
    <w:pPr>
      <w:spacing w:after="120"/>
      <w:ind w:leftChars="200"/>
    </w:pPr>
  </w:style>
  <w:style w:type="paragraph" w:styleId="BodyTextFirstIndent2">
    <w:name w:val="Body Text First Indent 2"/>
    <w:basedOn w:val="BodyTextIndent"/>
    <w:semiHidden/>
    <w:rsid w:val="00176DF9"/>
    <w:pPr>
      <w:ind w:firstLineChars="200"/>
    </w:pPr>
  </w:style>
  <w:style w:type="paragraph" w:styleId="NormalIndent">
    <w:name w:val="Normal Indent"/>
    <w:basedOn w:val="Normal"/>
    <w:semiHidden/>
    <w:rsid w:val="00176DF9"/>
    <w:pPr>
      <w:ind w:firstLineChars="200"/>
    </w:pPr>
  </w:style>
  <w:style w:type="paragraph" w:styleId="BodyText2">
    <w:name w:val="Body Text 2"/>
    <w:basedOn w:val="Normal"/>
    <w:semiHidden/>
    <w:rsid w:val="00176DF9"/>
    <w:pPr>
      <w:spacing w:after="120" w:line="480" w:lineRule="auto"/>
    </w:pPr>
  </w:style>
  <w:style w:type="paragraph" w:styleId="BodyText3">
    <w:name w:val="Body Text 3"/>
    <w:basedOn w:val="Normal"/>
    <w:semiHidden/>
    <w:rsid w:val="00176DF9"/>
    <w:pPr>
      <w:spacing w:after="120"/>
    </w:pPr>
    <w:rPr>
      <w:sz w:val="16"/>
      <w:szCs w:val="16"/>
    </w:rPr>
  </w:style>
  <w:style w:type="paragraph" w:styleId="BodyTextIndent2">
    <w:name w:val="Body Text Indent 2"/>
    <w:basedOn w:val="Normal"/>
    <w:semiHidden/>
    <w:rsid w:val="00176DF9"/>
    <w:pPr>
      <w:spacing w:after="120" w:line="480" w:lineRule="auto"/>
      <w:ind w:leftChars="200"/>
    </w:pPr>
  </w:style>
  <w:style w:type="paragraph" w:styleId="BodyTextIndent3">
    <w:name w:val="Body Text Indent 3"/>
    <w:basedOn w:val="Normal"/>
    <w:semiHidden/>
    <w:rsid w:val="00176DF9"/>
    <w:pPr>
      <w:spacing w:after="120"/>
      <w:ind w:leftChars="200"/>
    </w:pPr>
    <w:rPr>
      <w:sz w:val="16"/>
      <w:szCs w:val="16"/>
    </w:rPr>
  </w:style>
  <w:style w:type="paragraph" w:styleId="NoteHeading">
    <w:name w:val="Note Heading"/>
    <w:basedOn w:val="Normal"/>
    <w:next w:val="Normal"/>
    <w:semiHidden/>
    <w:rsid w:val="00176DF9"/>
    <w:pPr>
      <w:jc w:val="center"/>
    </w:pPr>
  </w:style>
  <w:style w:type="paragraph" w:customStyle="1" w:styleId="ItemStepinTable">
    <w:name w:val="Item Step in Table"/>
    <w:semiHidden/>
    <w:rsid w:val="00A9413C"/>
    <w:pPr>
      <w:numPr>
        <w:numId w:val="17"/>
      </w:numPr>
      <w:topLinePunct/>
      <w:spacing w:before="40" w:after="40" w:line="240" w:lineRule="atLeast"/>
    </w:pPr>
    <w:rPr>
      <w:rFonts w:cs="Arial"/>
      <w:sz w:val="21"/>
      <w:szCs w:val="21"/>
      <w:lang w:val="en-US" w:eastAsia="zh-CN" w:bidi="ar-SA"/>
    </w:rPr>
  </w:style>
  <w:style w:type="paragraph" w:customStyle="1" w:styleId="End">
    <w:name w:val="End"/>
    <w:basedOn w:val="Normal"/>
    <w:rsid w:val="00B937D5"/>
    <w:pPr>
      <w:spacing w:after="400"/>
    </w:pPr>
    <w:rPr>
      <w:b/>
    </w:rPr>
  </w:style>
  <w:style w:type="paragraph" w:customStyle="1" w:styleId="1">
    <w:name w:val="样式1"/>
    <w:basedOn w:val="End"/>
    <w:semiHidden/>
    <w:rsid w:val="00C92052"/>
    <w:rPr>
      <w:b w:val="0"/>
    </w:rPr>
  </w:style>
  <w:style w:type="paragraph" w:customStyle="1" w:styleId="NotesTextListinTable">
    <w:name w:val="Notes Text List in Table"/>
    <w:rsid w:val="00B86119"/>
    <w:pPr>
      <w:numPr>
        <w:numId w:val="20"/>
      </w:numPr>
      <w:adjustRightInd w:val="0"/>
      <w:snapToGrid w:val="0"/>
      <w:spacing w:before="40" w:after="80" w:line="200" w:lineRule="atLeast"/>
    </w:pPr>
    <w:rPr>
      <w:rFonts w:eastAsia="楷体_GB2312" w:cs="Arial"/>
      <w:iCs/>
      <w:kern w:val="2"/>
      <w:sz w:val="18"/>
      <w:szCs w:val="18"/>
      <w:lang w:val="en-US" w:eastAsia="zh-CN" w:bidi="ar-SA"/>
    </w:rPr>
  </w:style>
  <w:style w:type="paragraph" w:customStyle="1" w:styleId="NotesHeading">
    <w:name w:val="Notes Heading"/>
    <w:basedOn w:val="CAUTIONHeading"/>
    <w:rsid w:val="00046DA7"/>
    <w:pPr>
      <w:pBdr>
        <w:top w:val="none" w:sz="0" w:space="0" w:color="auto"/>
      </w:pBdr>
      <w:spacing w:after="40"/>
    </w:pPr>
    <w:rPr>
      <w:sz w:val="18"/>
      <w:szCs w:val="18"/>
    </w:rPr>
  </w:style>
  <w:style w:type="paragraph" w:customStyle="1" w:styleId="NotesText">
    <w:name w:val="Notes Text"/>
    <w:basedOn w:val="CAUTIONText"/>
    <w:rsid w:val="0048609F"/>
    <w:pPr>
      <w:pBdr>
        <w:bottom w:val="none" w:sz="0" w:space="0" w:color="auto"/>
      </w:pBdr>
      <w:spacing w:before="40" w:line="200" w:lineRule="atLeast"/>
      <w:ind w:left="2075"/>
    </w:pPr>
    <w:rPr>
      <w:sz w:val="18"/>
      <w:szCs w:val="18"/>
    </w:rPr>
  </w:style>
  <w:style w:type="paragraph" w:customStyle="1" w:styleId="NotesTextList">
    <w:name w:val="Notes Text List"/>
    <w:basedOn w:val="CAUTIONTextList"/>
    <w:rsid w:val="00714DD5"/>
    <w:pPr>
      <w:keepNext w:val="0"/>
      <w:numPr>
        <w:numId w:val="3"/>
      </w:numPr>
      <w:pBdr>
        <w:bottom w:val="none" w:sz="0" w:space="0" w:color="auto"/>
      </w:pBdr>
      <w:spacing w:before="40" w:line="200" w:lineRule="atLeast"/>
    </w:pPr>
    <w:rPr>
      <w:sz w:val="18"/>
      <w:szCs w:val="18"/>
    </w:rPr>
  </w:style>
  <w:style w:type="paragraph" w:customStyle="1" w:styleId="NotesTextListText">
    <w:name w:val="Notes Text List Text"/>
    <w:basedOn w:val="CAUTIONText"/>
    <w:rsid w:val="00960474"/>
    <w:pPr>
      <w:pBdr>
        <w:bottom w:val="none" w:sz="0" w:space="0" w:color="auto"/>
      </w:pBdr>
      <w:spacing w:before="40" w:line="200" w:lineRule="atLeast"/>
      <w:ind w:left="2359"/>
    </w:pPr>
    <w:rPr>
      <w:sz w:val="18"/>
      <w:szCs w:val="18"/>
    </w:rPr>
  </w:style>
  <w:style w:type="paragraph" w:customStyle="1" w:styleId="NotesTextTD">
    <w:name w:val="Notes Text TD"/>
    <w:rsid w:val="00960475"/>
    <w:pPr>
      <w:adjustRightInd w:val="0"/>
      <w:snapToGrid w:val="0"/>
      <w:spacing w:line="240" w:lineRule="atLeast"/>
      <w:ind w:left="2075"/>
    </w:pPr>
    <w:rPr>
      <w:rFonts w:ascii="Courier New" w:hAnsi="Courier New" w:cs="Courier New"/>
      <w:snapToGrid w:val="0"/>
      <w:spacing w:val="-1"/>
      <w:sz w:val="16"/>
      <w:szCs w:val="16"/>
      <w:lang w:val="en-US" w:eastAsia="zh-CN" w:bidi="ar-SA"/>
    </w:rPr>
  </w:style>
  <w:style w:type="paragraph" w:customStyle="1" w:styleId="NotesTextListTextTD">
    <w:name w:val="Notes Text List Text TD"/>
    <w:rsid w:val="00960476"/>
    <w:pPr>
      <w:adjustRightInd w:val="0"/>
      <w:snapToGrid w:val="0"/>
      <w:spacing w:line="240" w:lineRule="atLeast"/>
      <w:ind w:left="2359"/>
    </w:pPr>
    <w:rPr>
      <w:rFonts w:ascii="Courier New" w:hAnsi="Courier New" w:cs="Courier New"/>
      <w:snapToGrid w:val="0"/>
      <w:spacing w:val="-1"/>
      <w:sz w:val="16"/>
      <w:szCs w:val="16"/>
      <w:lang w:val="en-US" w:eastAsia="zh-CN" w:bidi="ar-SA"/>
    </w:rPr>
  </w:style>
  <w:style w:type="paragraph" w:customStyle="1" w:styleId="CAUTIONTextListTextTD">
    <w:name w:val="CAUTION Text List Text TD"/>
    <w:basedOn w:val="CAUTIONText"/>
    <w:rsid w:val="001749B3"/>
    <w:pPr>
      <w:adjustRightInd w:val="0"/>
      <w:snapToGrid w:val="0"/>
      <w:spacing w:line="240" w:lineRule="atLeast"/>
      <w:ind w:firstLine="284" w:firstLineChars="180"/>
    </w:pPr>
    <w:rPr>
      <w:rFonts w:ascii="Courier New" w:hAnsi="Courier New" w:cs="Courier New"/>
      <w:snapToGrid w:val="0"/>
      <w:spacing w:val="-1"/>
      <w:sz w:val="16"/>
      <w:szCs w:val="16"/>
      <w:lang w:val="en-US" w:eastAsia="zh-CN" w:bidi="ar-SA"/>
    </w:rPr>
  </w:style>
  <w:style w:type="paragraph" w:customStyle="1" w:styleId="CAUTIONTextTD">
    <w:name w:val="CAUTION Text TD"/>
    <w:basedOn w:val="CAUTIONText"/>
    <w:rsid w:val="001749B4"/>
    <w:pPr>
      <w:adjustRightInd w:val="0"/>
      <w:snapToGrid w:val="0"/>
      <w:spacing w:line="240" w:lineRule="atLeast"/>
      <w:ind w:left="1701"/>
    </w:pPr>
    <w:rPr>
      <w:rFonts w:ascii="Courier New" w:hAnsi="Courier New" w:cs="Courier New"/>
      <w:snapToGrid w:val="0"/>
      <w:spacing w:val="-1"/>
      <w:sz w:val="16"/>
      <w:szCs w:val="16"/>
      <w:lang w:val="en-US" w:eastAsia="zh-CN" w:bidi="ar-SA"/>
    </w:rPr>
  </w:style>
  <w:style w:type="paragraph" w:customStyle="1" w:styleId="CAUTIONTextStep">
    <w:name w:val="CAUTION Text Step"/>
    <w:basedOn w:val="CAUTIONText"/>
    <w:rsid w:val="001749B2"/>
    <w:pPr>
      <w:keepNext/>
      <w:numPr>
        <w:ilvl w:val="5"/>
        <w:numId w:val="31"/>
      </w:numPr>
    </w:pPr>
  </w:style>
  <w:style w:type="paragraph" w:customStyle="1" w:styleId="CAUTIONTextListText">
    <w:name w:val="CAUTION Text List Text"/>
    <w:basedOn w:val="CAUTIONText"/>
    <w:rsid w:val="001749B2"/>
    <w:pPr>
      <w:ind w:firstLine="283" w:firstLineChars="135"/>
    </w:pPr>
  </w:style>
  <w:style w:type="paragraph" w:customStyle="1" w:styleId="NotesTextStepinTable">
    <w:name w:val="Notes Text Step in Table"/>
    <w:rsid w:val="00D17237"/>
    <w:pPr>
      <w:numPr>
        <w:ilvl w:val="7"/>
        <w:numId w:val="31"/>
      </w:numPr>
      <w:pBdr>
        <w:bottom w:val="none" w:sz="0" w:space="0" w:color="auto"/>
      </w:pBdr>
      <w:spacing w:before="40" w:after="80" w:line="200" w:lineRule="atLeast"/>
    </w:pPr>
    <w:rPr>
      <w:rFonts w:ascii="Times New Roman" w:eastAsia="楷体_GB2312" w:hAnsi="Times New Roman" w:cs="Arial"/>
      <w:iCs/>
      <w:kern w:val="2"/>
      <w:sz w:val="18"/>
      <w:szCs w:val="18"/>
      <w:lang w:val="en-US" w:eastAsia="zh-CN" w:bidi="ar-SA"/>
    </w:rPr>
  </w:style>
  <w:style w:type="paragraph" w:customStyle="1" w:styleId="NotesTextListTextinTable">
    <w:name w:val="Notes Text List Text in Table"/>
    <w:rsid w:val="00340EDE"/>
    <w:pPr>
      <w:widowControl w:val="0"/>
      <w:adjustRightInd w:val="0"/>
      <w:snapToGrid w:val="0"/>
      <w:spacing w:before="40" w:after="80" w:line="240" w:lineRule="atLeast"/>
      <w:ind w:left="454"/>
    </w:pPr>
    <w:rPr>
      <w:rFonts w:ascii="Times New Roman" w:eastAsia="楷体_GB2312" w:hAnsi="Times New Roman" w:cs="Arial"/>
      <w:iCs/>
      <w:kern w:val="2"/>
      <w:sz w:val="18"/>
      <w:szCs w:val="18"/>
      <w:lang w:val="en-US" w:eastAsia="zh-CN" w:bidi="ar-SA"/>
    </w:rPr>
  </w:style>
  <w:style w:type="paragraph" w:customStyle="1" w:styleId="NotesTextTDinTable">
    <w:name w:val="Notes Text TD in Table"/>
    <w:rsid w:val="00394F24"/>
    <w:pPr>
      <w:widowControl w:val="0"/>
      <w:adjustRightInd w:val="0"/>
      <w:snapToGrid w:val="0"/>
      <w:spacing w:before="80" w:after="80" w:line="240" w:lineRule="atLeast"/>
      <w:ind w:left="170"/>
    </w:pPr>
    <w:rPr>
      <w:rFonts w:ascii="Courier New" w:hAnsi="Courier New" w:cs="Courier New"/>
      <w:snapToGrid w:val="0"/>
      <w:spacing w:val="-1"/>
      <w:sz w:val="16"/>
      <w:szCs w:val="16"/>
      <w:lang w:val="en-US" w:eastAsia="zh-CN" w:bidi="ar-SA"/>
    </w:rPr>
  </w:style>
  <w:style w:type="paragraph" w:customStyle="1" w:styleId="NotesTextListTextTDinTable">
    <w:name w:val="Notes Text List Text TD in Table"/>
    <w:rsid w:val="00394F25"/>
    <w:pPr>
      <w:widowControl w:val="0"/>
      <w:adjustRightInd w:val="0"/>
      <w:snapToGrid w:val="0"/>
      <w:spacing w:before="80" w:after="80" w:line="240" w:lineRule="atLeast"/>
      <w:ind w:left="454"/>
    </w:pPr>
    <w:rPr>
      <w:rFonts w:ascii="Courier New" w:hAnsi="Courier New" w:cs="Courier New"/>
      <w:snapToGrid w:val="0"/>
      <w:spacing w:val="-1"/>
      <w:sz w:val="16"/>
      <w:szCs w:val="16"/>
      <w:lang w:val="en-US" w:eastAsia="zh-CN" w:bidi="ar-SA"/>
    </w:rPr>
  </w:style>
  <w:style w:type="paragraph" w:customStyle="1" w:styleId="NotesTextStep">
    <w:name w:val="Notes Text Step"/>
    <w:basedOn w:val="CAUTIONTextStep"/>
    <w:rsid w:val="00D17236"/>
    <w:pPr>
      <w:numPr>
        <w:ilvl w:val="6"/>
        <w:numId w:val="31"/>
      </w:numPr>
      <w:pBdr>
        <w:bottom w:val="none" w:sz="0" w:space="0" w:color="auto"/>
      </w:pBdr>
      <w:spacing w:before="40" w:line="200" w:lineRule="atLeast"/>
    </w:pPr>
    <w:rPr>
      <w:sz w:val="18"/>
      <w:szCs w:val="18"/>
    </w:rPr>
  </w:style>
  <w:style w:type="paragraph" w:customStyle="1" w:styleId="Code">
    <w:name w:val="Code"/>
    <w:basedOn w:val="Normal"/>
    <w:rsid w:val="009341D2"/>
    <w:pPr>
      <w:widowControl w:val="0"/>
      <w:shd w:val="clear" w:color="auto" w:fill="F2F2F2"/>
      <w:autoSpaceDE w:val="0"/>
      <w:autoSpaceDN w:val="0"/>
      <w:spacing w:before="0" w:after="0" w:line="360" w:lineRule="auto"/>
    </w:pPr>
    <w:rPr>
      <w:rFonts w:ascii="Courier New" w:hAnsi="Courier New"/>
      <w:sz w:val="18"/>
    </w:rPr>
  </w:style>
  <w:style w:type="paragraph" w:customStyle="1" w:styleId="CodeinTable">
    <w:name w:val="Code in Table"/>
    <w:basedOn w:val="Normal"/>
    <w:rsid w:val="009341D3"/>
    <w:pPr>
      <w:widowControl w:val="0"/>
      <w:shd w:val="clear" w:color="auto" w:fill="F2F2F2"/>
      <w:snapToGrid w:val="0"/>
      <w:spacing w:before="80" w:after="80" w:line="240" w:lineRule="atLeast"/>
      <w:ind w:left="0"/>
    </w:pPr>
    <w:rPr>
      <w:rFonts w:ascii="Courier New" w:hAnsi="Courier New"/>
      <w:snapToGrid w:val="0"/>
      <w:sz w:val="18"/>
    </w:rPr>
  </w:style>
  <w:style w:type="paragraph" w:customStyle="1" w:styleId="Outline">
    <w:name w:val="Outline"/>
    <w:basedOn w:val="Normal"/>
    <w:semiHidden/>
    <w:rsid w:val="00814566"/>
    <w:rPr>
      <w:i/>
      <w:color w:val="0000FF"/>
    </w:rPr>
  </w:style>
  <w:style w:type="table" w:customStyle="1" w:styleId="RemarksTable">
    <w:name w:val="Remarks Table"/>
    <w:basedOn w:val="TableNormal"/>
    <w:rsid w:val="00A24251"/>
    <w:tblPr>
      <w:tblInd w:w="1809" w:type="dxa"/>
      <w:tblCellMar>
        <w:top w:w="0" w:type="dxa"/>
        <w:left w:w="108" w:type="dxa"/>
        <w:bottom w:w="0" w:type="dxa"/>
        <w:right w:w="108" w:type="dxa"/>
      </w:tblCellMar>
    </w:tblPr>
  </w:style>
  <w:style w:type="paragraph" w:customStyle="1" w:styleId="SubItemListTextTD">
    <w:name w:val="Sub Item List Text TD"/>
    <w:basedOn w:val="TerminalDisplay"/>
    <w:rsid w:val="00BA06CB"/>
    <w:pPr>
      <w:ind w:left="2551"/>
    </w:pPr>
    <w:rPr>
      <w:spacing w:val="-1"/>
    </w:rPr>
  </w:style>
  <w:style w:type="paragraph" w:customStyle="1" w:styleId="ThirdLevelItemListTextTD">
    <w:name w:val="Third Level Item List Text TD"/>
    <w:basedOn w:val="TerminalDisplay"/>
    <w:rsid w:val="00DC432E"/>
    <w:pPr>
      <w:adjustRightInd w:val="0"/>
      <w:ind w:left="2976"/>
    </w:pPr>
  </w:style>
  <w:style w:type="paragraph" w:customStyle="1" w:styleId="FourthLevelItemListTextTD">
    <w:name w:val="Fourth Level Item List Text TD"/>
    <w:basedOn w:val="TerminalDisplay"/>
    <w:rsid w:val="00DC432E"/>
    <w:pPr>
      <w:adjustRightInd w:val="0"/>
      <w:ind w:left="3401"/>
    </w:pPr>
  </w:style>
  <w:style w:type="paragraph" w:customStyle="1" w:styleId="FigureDescriptioninAppendix">
    <w:name w:val="Figure Description in Appendix"/>
    <w:basedOn w:val="FigureDescription"/>
    <w:next w:val="Figure"/>
    <w:rsid w:val="00F613A7"/>
    <w:pPr>
      <w:keepNext/>
      <w:numPr>
        <w:ilvl w:val="7"/>
        <w:numId w:val="36"/>
      </w:numPr>
    </w:pPr>
    <w:rPr>
      <w:rFonts w:eastAsia="宋体"/>
    </w:rPr>
  </w:style>
  <w:style w:type="paragraph" w:customStyle="1" w:styleId="ItemStepinAppendix">
    <w:name w:val="Item Step in Appendix"/>
    <w:basedOn w:val="ItemStep"/>
    <w:rsid w:val="00F613A7"/>
    <w:pPr>
      <w:numPr>
        <w:ilvl w:val="6"/>
        <w:numId w:val="36"/>
      </w:numPr>
      <w:outlineLvl w:val="5"/>
    </w:pPr>
  </w:style>
  <w:style w:type="paragraph" w:customStyle="1" w:styleId="FigureDescriptioninPreface">
    <w:name w:val="Figure Description in Preface"/>
    <w:basedOn w:val="FigureDescription"/>
    <w:next w:val="Figure"/>
    <w:rsid w:val="00F613A7"/>
    <w:pPr>
      <w:keepNext/>
      <w:numPr>
        <w:ilvl w:val="0"/>
        <w:numId w:val="40"/>
      </w:numPr>
    </w:pPr>
    <w:rPr>
      <w:rFonts w:eastAsia="宋体"/>
    </w:rPr>
  </w:style>
  <w:style w:type="paragraph" w:customStyle="1" w:styleId="StepinAppendix">
    <w:name w:val="Step in Appendix"/>
    <w:basedOn w:val="Step"/>
    <w:rsid w:val="00F613A7"/>
    <w:pPr>
      <w:numPr>
        <w:ilvl w:val="5"/>
        <w:numId w:val="36"/>
      </w:numPr>
      <w:topLinePunct w:val="0"/>
      <w:outlineLvl w:val="4"/>
    </w:pPr>
  </w:style>
  <w:style w:type="paragraph" w:customStyle="1" w:styleId="TableDescriptioninAppendix">
    <w:name w:val="Table Description in Appendix"/>
    <w:basedOn w:val="TableDescription"/>
    <w:next w:val="Normal"/>
    <w:rsid w:val="00F613A7"/>
    <w:pPr>
      <w:numPr>
        <w:ilvl w:val="8"/>
        <w:numId w:val="36"/>
      </w:numPr>
      <w:topLinePunct w:val="0"/>
    </w:pPr>
    <w:rPr>
      <w:rFonts w:eastAsia="宋体"/>
    </w:rPr>
  </w:style>
  <w:style w:type="paragraph" w:customStyle="1" w:styleId="TableDescriptioninPreface">
    <w:name w:val="Table Description in Preface"/>
    <w:basedOn w:val="TableDescription"/>
    <w:next w:val="Normal"/>
    <w:rsid w:val="00511C29"/>
    <w:pPr>
      <w:numPr>
        <w:ilvl w:val="0"/>
        <w:numId w:val="41"/>
      </w:numPr>
      <w:topLinePunct w:val="0"/>
    </w:pPr>
    <w:rPr>
      <w:rFonts w:eastAsia="宋体"/>
    </w:rPr>
  </w:style>
  <w:style w:type="paragraph" w:customStyle="1" w:styleId="ItemListinTableText">
    <w:name w:val="Item List in Table Text"/>
    <w:basedOn w:val="TableText"/>
    <w:rsid w:val="00704752"/>
    <w:pPr>
      <w:ind w:left="284"/>
    </w:pPr>
  </w:style>
  <w:style w:type="paragraph" w:customStyle="1" w:styleId="SubItemListinTableText">
    <w:name w:val="Sub Item List in Table Text"/>
    <w:basedOn w:val="TableText"/>
    <w:rsid w:val="00704753"/>
    <w:pPr>
      <w:ind w:left="568"/>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hyperlink" Target="https://e.huawei.com" TargetMode="External" /><Relationship Id="rId15" Type="http://schemas.openxmlformats.org/officeDocument/2006/relationships/hyperlink" Target="https://support.huawei.com/ecolumnsweb/en/warranty-policy" TargetMode="External" /><Relationship Id="rId16" Type="http://schemas.openxmlformats.org/officeDocument/2006/relationships/hyperlink" Target="https://www.huawei.com/en/psirt/vul-response-process" TargetMode="External" /><Relationship Id="rId17" Type="http://schemas.openxmlformats.org/officeDocument/2006/relationships/hyperlink" Target="https://securitybulletin.huawei.com/enterprise/en/security-advisory" TargetMode="External" /><Relationship Id="rId18" Type="http://schemas.openxmlformats.org/officeDocument/2006/relationships/hyperlink" Target="https://support.huawei.com/enterprise/en/bulletins-service/ENEWS2000015789" TargetMode="External" /><Relationship Id="rId19" Type="http://schemas.openxmlformats.org/officeDocument/2006/relationships/hyperlink" Target="https://e.huawei.com/en/about/eula" TargetMode="External" /><Relationship Id="rId2" Type="http://schemas.openxmlformats.org/officeDocument/2006/relationships/endnotes" Target="endnotes.xml" /><Relationship Id="rId20" Type="http://schemas.openxmlformats.org/officeDocument/2006/relationships/hyperlink" Target="https://support.huawei.com/enterprise/en/bulletins-website/ENEWS2000017761" TargetMode="External" /><Relationship Id="rId21" Type="http://schemas.openxmlformats.org/officeDocument/2006/relationships/header" Target="header4.xml" /><Relationship Id="rId22" Type="http://schemas.openxmlformats.org/officeDocument/2006/relationships/header" Target="header5.xml" /><Relationship Id="rId23" Type="http://schemas.openxmlformats.org/officeDocument/2006/relationships/footer" Target="footer4.xml" /><Relationship Id="rId24" Type="http://schemas.openxmlformats.org/officeDocument/2006/relationships/footer" Target="footer5.xml" /><Relationship Id="rId25" Type="http://schemas.openxmlformats.org/officeDocument/2006/relationships/header" Target="header6.xml" /><Relationship Id="rId26" Type="http://schemas.openxmlformats.org/officeDocument/2006/relationships/header" Target="header7.xml" /><Relationship Id="rId27" Type="http://schemas.openxmlformats.org/officeDocument/2006/relationships/footer" Target="footer6.xml" /><Relationship Id="rId28" Type="http://schemas.openxmlformats.org/officeDocument/2006/relationships/footer" Target="footer7.xml" /><Relationship Id="rId29" Type="http://schemas.openxmlformats.org/officeDocument/2006/relationships/header" Target="header8.xml" /><Relationship Id="rId3" Type="http://schemas.openxmlformats.org/officeDocument/2006/relationships/settings" Target="settings.xml" /><Relationship Id="rId30" Type="http://schemas.openxmlformats.org/officeDocument/2006/relationships/header" Target="header9.xml" /><Relationship Id="rId31" Type="http://schemas.openxmlformats.org/officeDocument/2006/relationships/footer" Target="footer8.xml" /><Relationship Id="rId32" Type="http://schemas.openxmlformats.org/officeDocument/2006/relationships/footer" Target="footer9.xml" /><Relationship Id="rId33" Type="http://schemas.openxmlformats.org/officeDocument/2006/relationships/header" Target="header10.xml" /><Relationship Id="rId34" Type="http://schemas.openxmlformats.org/officeDocument/2006/relationships/image" Target="media/image3.png" /><Relationship Id="rId35" Type="http://schemas.openxmlformats.org/officeDocument/2006/relationships/header" Target="header11.xml" /><Relationship Id="rId36" Type="http://schemas.openxmlformats.org/officeDocument/2006/relationships/header" Target="header12.xml" /><Relationship Id="rId37" Type="http://schemas.openxmlformats.org/officeDocument/2006/relationships/footer" Target="footer10.xml" /><Relationship Id="rId38" Type="http://schemas.openxmlformats.org/officeDocument/2006/relationships/footer" Target="footer11.xml" /><Relationship Id="rId39" Type="http://schemas.openxmlformats.org/officeDocument/2006/relationships/header" Target="header13.xml" /><Relationship Id="rId4" Type="http://schemas.openxmlformats.org/officeDocument/2006/relationships/webSettings" Target="webSettings.xml" /><Relationship Id="rId40" Type="http://schemas.openxmlformats.org/officeDocument/2006/relationships/header" Target="header14.xml" /><Relationship Id="rId41" Type="http://schemas.openxmlformats.org/officeDocument/2006/relationships/footer" Target="footer12.xml" /><Relationship Id="rId42" Type="http://schemas.openxmlformats.org/officeDocument/2006/relationships/footer" Target="footer13.xml" /><Relationship Id="rId43" Type="http://schemas.openxmlformats.org/officeDocument/2006/relationships/header" Target="header15.xml" /><Relationship Id="rId44" Type="http://schemas.openxmlformats.org/officeDocument/2006/relationships/header" Target="header16.xml" /><Relationship Id="rId45" Type="http://schemas.openxmlformats.org/officeDocument/2006/relationships/footer" Target="footer14.xml" /><Relationship Id="rId46" Type="http://schemas.openxmlformats.org/officeDocument/2006/relationships/footer" Target="footer15.xml" /><Relationship Id="rId47" Type="http://schemas.openxmlformats.org/officeDocument/2006/relationships/header" Target="header17.xml" /><Relationship Id="rId48" Type="http://schemas.openxmlformats.org/officeDocument/2006/relationships/header" Target="header18.xml" /><Relationship Id="rId49" Type="http://schemas.openxmlformats.org/officeDocument/2006/relationships/footer" Target="footer16.xml" /><Relationship Id="rId5" Type="http://schemas.openxmlformats.org/officeDocument/2006/relationships/fontTable" Target="fontTable.xml" /><Relationship Id="rId50" Type="http://schemas.openxmlformats.org/officeDocument/2006/relationships/footer" Target="footer17.xml" /><Relationship Id="rId51" Type="http://schemas.openxmlformats.org/officeDocument/2006/relationships/hyperlink" Target="https://support.huawei.com/enterprise" TargetMode="External" /><Relationship Id="rId52" Type="http://schemas.openxmlformats.org/officeDocument/2006/relationships/hyperlink" Target="https://support.huawei.com/carrier" TargetMode="External" /><Relationship Id="rId53" Type="http://schemas.openxmlformats.org/officeDocument/2006/relationships/header" Target="header19.xml" /><Relationship Id="rId54" Type="http://schemas.openxmlformats.org/officeDocument/2006/relationships/header" Target="header20.xml" /><Relationship Id="rId55" Type="http://schemas.openxmlformats.org/officeDocument/2006/relationships/footer" Target="footer18.xml" /><Relationship Id="rId56" Type="http://schemas.openxmlformats.org/officeDocument/2006/relationships/footer" Target="footer19.xml" /><Relationship Id="rId57" Type="http://schemas.openxmlformats.org/officeDocument/2006/relationships/header" Target="header21.xml" /><Relationship Id="rId58" Type="http://schemas.openxmlformats.org/officeDocument/2006/relationships/header" Target="header22.xml" /><Relationship Id="rId59" Type="http://schemas.openxmlformats.org/officeDocument/2006/relationships/header" Target="header23.xml" /><Relationship Id="rId6" Type="http://schemas.openxmlformats.org/officeDocument/2006/relationships/image" Target="media/image1.png" /><Relationship Id="rId60" Type="http://schemas.openxmlformats.org/officeDocument/2006/relationships/header" Target="header24.xml" /><Relationship Id="rId61" Type="http://schemas.openxmlformats.org/officeDocument/2006/relationships/theme" Target="theme/theme1.xml" /><Relationship Id="rId62" Type="http://schemas.openxmlformats.org/officeDocument/2006/relationships/numbering" Target="numbering.xml" /><Relationship Id="rId63" Type="http://schemas.openxmlformats.org/officeDocument/2006/relationships/styles" Target="styles.xml" /><Relationship Id="rId7" Type="http://schemas.openxmlformats.org/officeDocument/2006/relationships/image" Target="media/image2.pn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otalTime>0</TotalTime>
  <Pages>25</Pages>
  <Words>3083</Words>
  <Characters>18361</Characters>
  <Application>Microsoft Office Word</Application>
  <DocSecurity>0</DocSecurity>
  <Lines>0</Lines>
  <Paragraphs>451</Paragraphs>
  <ScaleCrop>false</ScaleCrop>
  <Company>Huawei Technologies Co.,Ltd.</Company>
  <LinksUpToDate>false</LinksUpToDate>
  <CharactersWithSpaces>20987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Release Notes</dc:title>
  <dc:subject>Technical Document</dc:subject>
  <dc:creator>Huawei Technologies Co.,Ltd.</dc:creator>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Release Notes</vt:lpwstr>
  </property>
  <property fmtid="{D5CDD505-2E9C-101B-9397-08002B2CF9AE}" pid="3" name="DocumentVersion">
    <vt:lpwstr>01</vt:lpwstr>
  </property>
  <property fmtid="{D5CDD505-2E9C-101B-9397-08002B2CF9AE}" pid="4" name="PartNumber">
    <vt:lpwstr/>
  </property>
  <property fmtid="{D5CDD505-2E9C-101B-9397-08002B2CF9AE}" pid="5" name="Product&amp;Project Name">
    <vt:lpwstr>OceanStor Dorado</vt:lpwstr>
  </property>
  <property fmtid="{D5CDD505-2E9C-101B-9397-08002B2CF9AE}" pid="6" name="ProductVersion">
    <vt:lpwstr>V700R001C00SPC200</vt:lpwstr>
  </property>
  <property fmtid="{D5CDD505-2E9C-101B-9397-08002B2CF9AE}" pid="7" name="ProprietaryDeclaration">
    <vt:lpwstr>Copyright © Huawei Technologies Co., Ltd.</vt:lpwstr>
  </property>
  <property fmtid="{D5CDD505-2E9C-101B-9397-08002B2CF9AE}" pid="8" name="ReleaseDate">
    <vt:lpwstr>2024-12-30</vt:lpwstr>
  </property>
  <property fmtid="{D5CDD505-2E9C-101B-9397-08002B2CF9AE}" pid="9" name="SecretLevel">
    <vt:lpwstr>PUBLIC OPEN</vt:lpwstr>
  </property>
  <property fmtid="{D5CDD505-2E9C-101B-9397-08002B2CF9AE}" pid="10" name="Trademark&amp;ProductType">
    <vt:lpwstr>OceanStor Dorado</vt:lpwstr>
  </property>
</Properties>
</file>