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OceanStor V5 Series Storage Systems</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V500R007C71SPH152</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Patch Notes</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2024-05-15</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2024</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https://e.huawei.com</w:t>
              </w:r>
            </w:hyperlink>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W w:w="0" w:type="auto"/>
        <w:tblLook w:val="01E0"/>
      </w:tblPr>
      <w:tblGrid>
        <w:gridCol w:w="9439"/>
      </w:tblGrid>
      <w:tr>
        <w:tblPrEx>
          <w:tblW w:w="0" w:type="auto"/>
          <w:tblLook w:val="01E0"/>
        </w:tblPrEx>
        <w:trPr>
          <w:trHeight w:val="634"/>
        </w:trPr>
        <w:tc>
          <w:tcPr>
            <w:tcW w:w="9439" w:type="dxa"/>
            <w:shd w:val="clear" w:color="auto" w:fill="auto"/>
          </w:tcPr>
          <w:p>
            <w:pPr>
              <w:pStyle w:val="Cover2"/>
              <w:widowControl w:val="0"/>
              <w:jc w:val="both"/>
            </w:pPr>
            <w:r>
              <w:rPr>
                <w:lang w:eastAsia="zh-CN"/>
              </w:rPr>
              <w:t>Security Declaration</w:t>
            </w:r>
          </w:p>
        </w:tc>
      </w:tr>
      <w:tr>
        <w:tblPrEx>
          <w:tblW w:w="0" w:type="auto"/>
          <w:tblLook w:val="01E0"/>
        </w:tblPrEx>
        <w:trPr>
          <w:trHeight w:val="337"/>
        </w:trPr>
        <w:tc>
          <w:tcPr>
            <w:tcW w:w="9439" w:type="dxa"/>
            <w:shd w:val="clear" w:color="auto" w:fill="auto"/>
          </w:tcPr>
          <w:p>
            <w:pPr>
              <w:pStyle w:val="Cover3"/>
              <w:jc w:val="both"/>
            </w:pPr>
            <w:r>
              <w:rPr>
                <w:rFonts w:hint="eastAsia"/>
                <w:b/>
              </w:rPr>
              <w:t>Product Lifecycle</w:t>
            </w:r>
          </w:p>
          <w:p>
            <w:pPr>
              <w:pStyle w:val="CoverText"/>
              <w:widowControl w:val="0"/>
              <w:ind w:left="0"/>
              <w:jc w:val="both"/>
            </w:pPr>
            <w:r>
              <w:t xml:space="preserve">Huawei's regulations on product lifecycle are subject to the </w:t>
            </w:r>
            <w:r>
              <w:rPr>
                <w:i/>
              </w:rPr>
              <w:t>Product End of Life Policy</w:t>
            </w:r>
            <w:r>
              <w:t>. For details about this policy, visit the following web page:</w:t>
            </w:r>
          </w:p>
          <w:p>
            <w:pPr>
              <w:pStyle w:val="CoverText"/>
              <w:widowControl w:val="0"/>
            </w:pPr>
            <w:hyperlink r:id="rId15" w:history="1">
              <w:r>
                <w:rPr>
                  <w:rStyle w:val="Hyperlink"/>
                </w:rPr>
                <w:t>https://support.huawei.com/ecolumnsweb/en/warranty-policy</w:t>
              </w:r>
            </w:hyperlink>
          </w:p>
          <w:p>
            <w:pPr>
              <w:pStyle w:val="CoverText"/>
              <w:widowControl w:val="0"/>
            </w:pPr>
          </w:p>
          <w:p>
            <w:pPr>
              <w:pStyle w:val="Cover3"/>
              <w:jc w:val="both"/>
            </w:pPr>
            <w:r>
              <w:rPr>
                <w:rFonts w:hint="eastAsia"/>
                <w:b/>
              </w:rPr>
              <w:t>Vulnerability</w:t>
            </w:r>
          </w:p>
          <w:p>
            <w:pPr>
              <w:pStyle w:val="CoverText"/>
              <w:widowControl w:val="0"/>
              <w:ind w:left="0"/>
              <w:jc w:val="both"/>
            </w:pPr>
            <w:r>
              <w:t xml:space="preserve">Huawei's regulations on product vulnerability management are subject to the </w:t>
            </w:r>
            <w:r>
              <w:rPr>
                <w:i/>
              </w:rPr>
              <w:t>Vul. Response Process.</w:t>
            </w:r>
            <w:r>
              <w:t xml:space="preserve"> For details about this process, visit the following web page: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vulnerability information, enterprise customers can visit the following web page:</w:t>
            </w:r>
          </w:p>
          <w:p>
            <w:pPr>
              <w:pStyle w:val="CoverText"/>
              <w:widowControl w:val="0"/>
            </w:pPr>
            <w:hyperlink r:id="rId17" w:history="1">
              <w:r>
                <w:rPr>
                  <w:rStyle w:val="Hyperlink"/>
                </w:rPr>
                <w:t>https://securitybulletin.huawei.com/enterprise/en/security-advisory</w:t>
              </w:r>
            </w:hyperlink>
          </w:p>
          <w:p>
            <w:pPr>
              <w:pStyle w:val="CoverText"/>
              <w:widowControl w:val="0"/>
            </w:pPr>
          </w:p>
          <w:p>
            <w:pPr>
              <w:pStyle w:val="Cover3"/>
              <w:jc w:val="both"/>
            </w:pPr>
            <w:r>
              <w:rPr>
                <w:rFonts w:hint="eastAsia"/>
                <w:b/>
              </w:rPr>
              <w:t>Preconfigured Digital Certificate</w:t>
            </w:r>
          </w:p>
          <w:p>
            <w:pPr>
              <w:pStyle w:val="CoverText"/>
              <w:widowControl w:val="0"/>
              <w:ind w:left="0"/>
              <w:jc w:val="both"/>
            </w:pPr>
            <w:r>
              <w:t xml:space="preserve">The digital certificates preconfigured on Huawei devices are subject to the </w:t>
            </w:r>
            <w:r>
              <w:rPr>
                <w:i/>
              </w:rPr>
              <w:t>Rights and Responsibilities of Preconfigured Digital Certificates on Huawei Devices.</w:t>
            </w:r>
            <w:r>
              <w:t xml:space="preserve"> For details about this document, visit the following web page:</w:t>
            </w:r>
          </w:p>
          <w:p>
            <w:pPr>
              <w:pStyle w:val="CoverText"/>
              <w:widowControl w:val="0"/>
            </w:pPr>
            <w:hyperlink r:id="rId18" w:history="1">
              <w:r>
                <w:rPr>
                  <w:rStyle w:val="Hyperlink"/>
                </w:rPr>
                <w:t>https://support.huawei.com/enterprise/en/bulletins-service/ENEWS2000015789</w:t>
              </w:r>
            </w:hyperlink>
          </w:p>
          <w:p>
            <w:pPr>
              <w:pStyle w:val="CoverText"/>
              <w:widowControl w:val="0"/>
            </w:pPr>
          </w:p>
          <w:p>
            <w:pPr>
              <w:pStyle w:val="Cover3"/>
              <w:jc w:val="both"/>
            </w:pPr>
            <w:r>
              <w:rPr>
                <w:rFonts w:hint="eastAsia"/>
                <w:b/>
              </w:rPr>
              <w:t>Huawei Enterprise End User License Agreement</w:t>
            </w:r>
          </w:p>
          <w:p>
            <w:pPr>
              <w:pStyle w:val="CoverText"/>
              <w:widowControl w:val="0"/>
              <w:ind w:left="0"/>
              <w:jc w:val="both"/>
            </w:pPr>
            <w:r>
              <w:t>This agreement is the end user license agreement between you (an individual, company, or any other entity) and Huawei for the use of the Huawei Software. Your use of the Huawei Software will be deemed as your acceptance of the terms mentioned in this agreement. For details about this agreement, visit the following web page:</w:t>
            </w:r>
          </w:p>
          <w:p>
            <w:pPr>
              <w:pStyle w:val="CoverText"/>
              <w:widowControl w:val="0"/>
            </w:pPr>
            <w:hyperlink r:id="rId19" w:history="1">
              <w:r>
                <w:rPr>
                  <w:rStyle w:val="Hyperlink"/>
                </w:rPr>
                <w:t>https://e.huawei.com/en/about/eula</w:t>
              </w:r>
            </w:hyperlink>
          </w:p>
          <w:p>
            <w:pPr>
              <w:pStyle w:val="CoverText"/>
              <w:widowControl w:val="0"/>
            </w:pPr>
          </w:p>
          <w:p>
            <w:pPr>
              <w:pStyle w:val="Cover3"/>
              <w:jc w:val="both"/>
            </w:pPr>
            <w:r>
              <w:rPr>
                <w:rFonts w:hint="eastAsia"/>
                <w:b/>
              </w:rPr>
              <w:t>Lifecycle of Product Documentation</w:t>
            </w:r>
          </w:p>
          <w:p>
            <w:pPr>
              <w:pStyle w:val="CoverText"/>
              <w:widowControl w:val="0"/>
              <w:ind w:left="0"/>
              <w:jc w:val="both"/>
            </w:pPr>
            <w:r>
              <w:t xml:space="preserve">Huawei after-sales user documentation is subject to the </w:t>
            </w:r>
            <w:r>
              <w:rPr>
                <w:i/>
              </w:rPr>
              <w:t xml:space="preserve">Product Documentation Lifecycle Policy. </w:t>
            </w:r>
            <w:r>
              <w:t>For details about this policy, visit the following web page:</w:t>
            </w:r>
          </w:p>
          <w:p>
            <w:pPr>
              <w:pStyle w:val="CoverText"/>
              <w:widowControl w:val="0"/>
            </w:pPr>
            <w:hyperlink r:id="rId20" w:history="1">
              <w:r>
                <w:rPr>
                  <w:rStyle w:val="Hyperlink"/>
                  <w:rFonts w:hint="eastAsia"/>
                </w:rPr>
                <w:t>https://support.huawei.com/enterprise/en/bulletins-website/ENEWS200001776</w:t>
              </w:r>
              <w:r>
                <w:rPr>
                  <w:rStyle w:val="Hyperlink"/>
                </w:rPr>
                <w:t>1</w:t>
              </w:r>
            </w:hyperlink>
          </w:p>
        </w:tc>
      </w:tr>
    </w:tbl>
    <w:p>
      <w:pPr>
        <w:sectPr>
          <w:headerReference w:type="even" r:id="rId21"/>
          <w:headerReference w:type="default" r:id="rId22"/>
          <w:footerReference w:type="even" r:id="rId23"/>
          <w:footerReference w:type="default" r:id="rId24"/>
          <w:type w:val="nextPage"/>
          <w:pgSz w:w="11907" w:h="16840" w:code="9"/>
          <w:pgMar w:top="1701" w:right="1134" w:bottom="1701" w:left="1134" w:header="567" w:footer="567" w:gutter="0"/>
          <w:pgNumType w:fmt="lowerRoman" w:start="1"/>
          <w:cols w:space="425"/>
          <w:docGrid w:linePitch="312"/>
        </w:sectPr>
      </w:pPr>
    </w:p>
    <w:p>
      <w:pPr>
        <w:pStyle w:val="Heading1NoNumber"/>
      </w:pPr>
      <w:bookmarkStart w:id="0" w:name="_EN-US_TOPIC_0000001876680082-chtext"/>
      <w:bookmarkStart w:id="1" w:name="_Toc256000000"/>
      <w:r>
        <w:t>Change History</w:t>
      </w:r>
      <w:bookmarkEnd w:id="1"/>
      <w:bookmarkEnd w:id="0"/>
    </w:p>
    <w:tbl>
      <w:tblPr>
        <w:tblStyle w:val="Table"/>
        <w:tblW w:w="7938" w:type="dxa"/>
        <w:tblInd w:w="1814" w:type="dxa"/>
        <w:tblLayout w:type="fixed"/>
        <w:tblLook w:val="01E0"/>
      </w:tblPr>
      <w:tblGrid>
        <w:gridCol w:w="2500"/>
        <w:gridCol w:w="2791"/>
        <w:gridCol w:w="2647"/>
      </w:tblGrid>
      <w:tr>
        <w:tblPrEx>
          <w:tblW w:w="7938" w:type="dxa"/>
          <w:tblInd w:w="1814" w:type="dxa"/>
          <w:tblLayout w:type="fixed"/>
          <w:tblLook w:val="01E0"/>
        </w:tblPrEx>
        <w:trPr>
          <w:cantSplit w:val="0"/>
          <w:tblHeader/>
        </w:trPr>
        <w:tc>
          <w:tcPr>
            <w:tcW w:w="1574" w:type="pct"/>
            <w:tcBorders>
              <w:top w:val="single" w:sz="6" w:space="0" w:color="000000"/>
              <w:bottom w:val="single" w:sz="6" w:space="0" w:color="000000"/>
              <w:right w:val="single" w:sz="6" w:space="0" w:color="000000"/>
            </w:tcBorders>
            <w:shd w:val="clear" w:color="auto" w:fill="D9D9D9"/>
          </w:tcPr>
          <w:p>
            <w:pPr>
              <w:pStyle w:val="TableHeading"/>
            </w:pPr>
            <w:r>
              <w:t>Issue</w:t>
            </w:r>
          </w:p>
        </w:tc>
        <w:tc>
          <w:tcPr>
            <w:tcW w:w="1758" w:type="pct"/>
            <w:tcBorders>
              <w:top w:val="single" w:sz="6" w:space="0" w:color="000000"/>
              <w:bottom w:val="single" w:sz="6" w:space="0" w:color="000000"/>
              <w:right w:val="single" w:sz="6" w:space="0" w:color="000000"/>
            </w:tcBorders>
            <w:shd w:val="clear" w:color="auto" w:fill="D9D9D9"/>
          </w:tcPr>
          <w:p>
            <w:pPr>
              <w:pStyle w:val="TableHeading"/>
            </w:pPr>
            <w:r>
              <w:t>Date</w:t>
            </w:r>
          </w:p>
        </w:tc>
        <w:tc>
          <w:tcPr>
            <w:tcW w:w="1667"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1574" w:type="pct"/>
            <w:tcBorders>
              <w:top w:val="single" w:sz="6" w:space="0" w:color="000000"/>
              <w:bottom w:val="single" w:sz="6" w:space="0" w:color="000000"/>
              <w:right w:val="single" w:sz="6" w:space="0" w:color="000000"/>
            </w:tcBorders>
          </w:tcPr>
          <w:p>
            <w:pPr>
              <w:pStyle w:val="TableText"/>
            </w:pPr>
            <w:r>
              <w:t>01</w:t>
            </w:r>
          </w:p>
        </w:tc>
        <w:tc>
          <w:tcPr>
            <w:tcW w:w="1758" w:type="pct"/>
            <w:tcBorders>
              <w:top w:val="single" w:sz="6" w:space="0" w:color="000000"/>
              <w:bottom w:val="single" w:sz="6" w:space="0" w:color="000000"/>
              <w:right w:val="single" w:sz="6" w:space="0" w:color="000000"/>
            </w:tcBorders>
          </w:tcPr>
          <w:p>
            <w:pPr>
              <w:pStyle w:val="TableText"/>
            </w:pPr>
            <w:r>
              <w:t>2024-05-15</w:t>
            </w:r>
          </w:p>
        </w:tc>
        <w:tc>
          <w:tcPr>
            <w:tcW w:w="1667" w:type="pct"/>
            <w:tcBorders>
              <w:top w:val="single" w:sz="6" w:space="0" w:color="000000"/>
              <w:bottom w:val="single" w:sz="6" w:space="0" w:color="000000"/>
            </w:tcBorders>
          </w:tcPr>
          <w:p>
            <w:pPr>
              <w:pStyle w:val="TableText"/>
            </w:pPr>
            <w:r>
              <w:t>This issue is the first official release.</w:t>
            </w:r>
          </w:p>
        </w:tc>
      </w:tr>
    </w:tbl>
    <w:p>
      <w:pPr>
        <w:sectPr>
          <w:headerReference w:type="even" r:id="rId25"/>
          <w:headerReference w:type="default" r:id="rId26"/>
          <w:footerReference w:type="even" r:id="rId27"/>
          <w:footerReference w:type="default" r:id="rId28"/>
          <w:type w:val="nextPage"/>
          <w:pgSz w:w="11907" w:h="16840" w:code="9"/>
          <w:pgMar w:top="1701" w:right="1134" w:bottom="1701" w:left="1134" w:header="567" w:footer="567" w:gutter="0"/>
          <w:pgNumType w:fmt="lowerRoman"/>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Change History</w:t>
        </w:r>
        <w:r>
          <w:tab/>
        </w:r>
        <w:r>
          <w:fldChar w:fldCharType="begin"/>
        </w:r>
        <w:r>
          <w:instrText xml:space="preserve"> PAGEREF _Toc256000000 \h </w:instrText>
        </w:r>
        <w:r>
          <w:fldChar w:fldCharType="separate"/>
        </w:r>
        <w:r>
          <w:t>iii</w:t>
        </w:r>
        <w:r>
          <w:fldChar w:fldCharType="end"/>
        </w:r>
      </w:hyperlink>
    </w:p>
    <w:p>
      <w:pPr>
        <w:pStyle w:val="TOC1"/>
        <w:tabs>
          <w:tab w:val="right" w:leader="dot" w:pos="9629"/>
        </w:tabs>
        <w:rPr>
          <w:rFonts w:ascii="Calibri" w:hAnsi="Calibri"/>
          <w:noProof/>
          <w:sz w:val="22"/>
        </w:rPr>
      </w:pPr>
      <w:hyperlink w:anchor="_Toc256000001" w:history="1">
        <w:r>
          <w:rPr>
            <w:rStyle w:val="Hyperlink"/>
          </w:rPr>
          <w:t>1</w:t>
        </w:r>
        <w:r>
          <w:rPr>
            <w:rStyle w:val="Hyperlink"/>
          </w:rPr>
          <w:t xml:space="preserve"> </w:t>
        </w:r>
        <w:r>
          <w:rPr>
            <w:rStyle w:val="Hyperlink"/>
          </w:rPr>
          <w:t>Patch Overview</w:t>
        </w:r>
        <w:r>
          <w:tab/>
        </w:r>
        <w:r>
          <w:fldChar w:fldCharType="begin"/>
        </w:r>
        <w:r>
          <w:instrText xml:space="preserve"> PAGEREF _Toc256000001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1.1</w:t>
        </w:r>
        <w:r>
          <w:rPr>
            <w:rStyle w:val="Hyperlink"/>
            <w:snapToGrid w:val="0"/>
          </w:rPr>
          <w:t xml:space="preserve"> </w:t>
        </w:r>
        <w:r>
          <w:rPr>
            <w:rStyle w:val="Hyperlink"/>
          </w:rPr>
          <w:t>Basic Information</w:t>
        </w:r>
        <w:r>
          <w:tab/>
        </w:r>
        <w:r>
          <w:fldChar w:fldCharType="begin"/>
        </w:r>
        <w:r>
          <w:instrText xml:space="preserve"> PAGEREF _Toc256000002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1.2</w:t>
        </w:r>
        <w:r>
          <w:rPr>
            <w:rStyle w:val="Hyperlink"/>
            <w:snapToGrid w:val="0"/>
          </w:rPr>
          <w:t xml:space="preserve"> </w:t>
        </w:r>
        <w:r>
          <w:rPr>
            <w:rStyle w:val="Hyperlink"/>
          </w:rPr>
          <w:t>Impact of Patch Installation</w:t>
        </w:r>
        <w:r>
          <w:tab/>
        </w:r>
        <w:r>
          <w:fldChar w:fldCharType="begin"/>
        </w:r>
        <w:r>
          <w:instrText xml:space="preserve"> PAGEREF _Toc256000003 \h </w:instrText>
        </w:r>
        <w:r>
          <w:fldChar w:fldCharType="separate"/>
        </w:r>
        <w:r>
          <w:t>2</w:t>
        </w:r>
        <w:r>
          <w:fldChar w:fldCharType="end"/>
        </w:r>
      </w:hyperlink>
    </w:p>
    <w:p>
      <w:pPr>
        <w:pStyle w:val="TOC3"/>
        <w:tabs>
          <w:tab w:val="right" w:leader="dot" w:pos="9629"/>
        </w:tabs>
        <w:rPr>
          <w:rFonts w:ascii="Calibri" w:hAnsi="Calibri"/>
          <w:noProof/>
          <w:sz w:val="22"/>
        </w:rPr>
      </w:pPr>
      <w:hyperlink w:anchor="_Toc256000004" w:history="1">
        <w:r>
          <w:rPr>
            <w:rStyle w:val="Hyperlink"/>
            <w:rFonts w:cs="Book Antiqua"/>
            <w:bCs/>
            <w:snapToGrid w:val="0"/>
          </w:rPr>
          <w:t>1.2.1</w:t>
        </w:r>
        <w:r>
          <w:rPr>
            <w:rStyle w:val="Hyperlink"/>
            <w:rFonts w:cs="Book Antiqua"/>
            <w:bCs/>
            <w:snapToGrid w:val="0"/>
          </w:rPr>
          <w:t xml:space="preserve"> </w:t>
        </w:r>
        <w:r>
          <w:rPr>
            <w:rStyle w:val="Hyperlink"/>
          </w:rPr>
          <w:t>Impact on the System During Installation</w:t>
        </w:r>
        <w:r>
          <w:tab/>
        </w:r>
        <w:r>
          <w:fldChar w:fldCharType="begin"/>
        </w:r>
        <w:r>
          <w:instrText xml:space="preserve"> PAGEREF _Toc256000004 \h </w:instrText>
        </w:r>
        <w:r>
          <w:fldChar w:fldCharType="separate"/>
        </w:r>
        <w:r>
          <w:t>2</w:t>
        </w:r>
        <w:r>
          <w:fldChar w:fldCharType="end"/>
        </w:r>
      </w:hyperlink>
    </w:p>
    <w:p>
      <w:pPr>
        <w:pStyle w:val="TOC3"/>
        <w:tabs>
          <w:tab w:val="right" w:leader="dot" w:pos="9629"/>
        </w:tabs>
        <w:rPr>
          <w:rFonts w:ascii="Calibri" w:hAnsi="Calibri"/>
          <w:noProof/>
          <w:sz w:val="22"/>
        </w:rPr>
      </w:pPr>
      <w:hyperlink w:anchor="_Toc256000005" w:history="1">
        <w:r>
          <w:rPr>
            <w:rStyle w:val="Hyperlink"/>
            <w:rFonts w:cs="Book Antiqua"/>
            <w:bCs/>
            <w:snapToGrid w:val="0"/>
          </w:rPr>
          <w:t>1.2.2</w:t>
        </w:r>
        <w:r>
          <w:rPr>
            <w:rStyle w:val="Hyperlink"/>
            <w:rFonts w:cs="Book Antiqua"/>
            <w:bCs/>
            <w:snapToGrid w:val="0"/>
          </w:rPr>
          <w:t xml:space="preserve"> </w:t>
        </w:r>
        <w:r>
          <w:rPr>
            <w:rStyle w:val="Hyperlink"/>
          </w:rPr>
          <w:t>Impact on the System After Installation</w:t>
        </w:r>
        <w:r>
          <w:tab/>
        </w:r>
        <w:r>
          <w:fldChar w:fldCharType="begin"/>
        </w:r>
        <w:r>
          <w:instrText xml:space="preserve"> PAGEREF _Toc256000005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6" w:history="1">
        <w:r>
          <w:rPr>
            <w:rStyle w:val="Hyperlink"/>
            <w:snapToGrid w:val="0"/>
          </w:rPr>
          <w:t>1.3</w:t>
        </w:r>
        <w:r>
          <w:rPr>
            <w:rStyle w:val="Hyperlink"/>
            <w:snapToGrid w:val="0"/>
          </w:rPr>
          <w:t xml:space="preserve"> </w:t>
        </w:r>
        <w:r>
          <w:rPr>
            <w:rStyle w:val="Hyperlink"/>
          </w:rPr>
          <w:t>Version Compatibility Requirements</w:t>
        </w:r>
        <w:r>
          <w:tab/>
        </w:r>
        <w:r>
          <w:fldChar w:fldCharType="begin"/>
        </w:r>
        <w:r>
          <w:instrText xml:space="preserve"> PAGEREF _Toc256000006 \h </w:instrText>
        </w:r>
        <w:r>
          <w:fldChar w:fldCharType="separate"/>
        </w:r>
        <w:r>
          <w:t>2</w:t>
        </w:r>
        <w:r>
          <w:fldChar w:fldCharType="end"/>
        </w:r>
      </w:hyperlink>
    </w:p>
    <w:p>
      <w:pPr>
        <w:pStyle w:val="TOC1"/>
        <w:tabs>
          <w:tab w:val="right" w:leader="dot" w:pos="9629"/>
        </w:tabs>
        <w:rPr>
          <w:rFonts w:ascii="Calibri" w:hAnsi="Calibri"/>
          <w:noProof/>
          <w:sz w:val="22"/>
        </w:rPr>
      </w:pPr>
      <w:hyperlink w:anchor="_Toc256000007" w:history="1">
        <w:r>
          <w:rPr>
            <w:rStyle w:val="Hyperlink"/>
          </w:rPr>
          <w:t>2</w:t>
        </w:r>
        <w:r>
          <w:rPr>
            <w:rStyle w:val="Hyperlink"/>
          </w:rPr>
          <w:t xml:space="preserve"> </w:t>
        </w:r>
        <w:r>
          <w:rPr>
            <w:rStyle w:val="Hyperlink"/>
          </w:rPr>
          <w:t>Resolved Issues</w:t>
        </w:r>
        <w:r>
          <w:tab/>
        </w:r>
        <w:r>
          <w:fldChar w:fldCharType="begin"/>
        </w:r>
        <w:r>
          <w:instrText xml:space="preserve"> PAGEREF _Toc256000007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8" w:history="1">
        <w:r>
          <w:rPr>
            <w:rStyle w:val="Hyperlink"/>
            <w:snapToGrid w:val="0"/>
          </w:rPr>
          <w:t>2.1</w:t>
        </w:r>
        <w:r>
          <w:rPr>
            <w:rStyle w:val="Hyperlink"/>
            <w:snapToGrid w:val="0"/>
          </w:rPr>
          <w:t xml:space="preserve"> </w:t>
        </w:r>
        <w:r>
          <w:rPr>
            <w:rStyle w:val="Hyperlink"/>
          </w:rPr>
          <w:t>V500R007C71SPH152</w:t>
        </w:r>
        <w:r>
          <w:tab/>
        </w:r>
        <w:r>
          <w:fldChar w:fldCharType="begin"/>
        </w:r>
        <w:r>
          <w:instrText xml:space="preserve"> PAGEREF _Toc256000008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2.2</w:t>
        </w:r>
        <w:r>
          <w:rPr>
            <w:rStyle w:val="Hyperlink"/>
            <w:snapToGrid w:val="0"/>
          </w:rPr>
          <w:t xml:space="preserve"> </w:t>
        </w:r>
        <w:r>
          <w:rPr>
            <w:rStyle w:val="Hyperlink"/>
          </w:rPr>
          <w:t>V500R007C71SPH150</w:t>
        </w:r>
        <w:r>
          <w:tab/>
        </w:r>
        <w:r>
          <w:fldChar w:fldCharType="begin"/>
        </w:r>
        <w:r>
          <w:instrText xml:space="preserve"> PAGEREF _Toc256000009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2.3</w:t>
        </w:r>
        <w:r>
          <w:rPr>
            <w:rStyle w:val="Hyperlink"/>
            <w:snapToGrid w:val="0"/>
          </w:rPr>
          <w:t xml:space="preserve"> </w:t>
        </w:r>
        <w:r>
          <w:rPr>
            <w:rStyle w:val="Hyperlink"/>
          </w:rPr>
          <w:t>V500R007C71SPH137</w:t>
        </w:r>
        <w:r>
          <w:tab/>
        </w:r>
        <w:r>
          <w:fldChar w:fldCharType="begin"/>
        </w:r>
        <w:r>
          <w:instrText xml:space="preserve"> PAGEREF _Toc256000010 \h </w:instrText>
        </w:r>
        <w:r>
          <w:fldChar w:fldCharType="separate"/>
        </w:r>
        <w:r>
          <w:t>7</w:t>
        </w:r>
        <w:r>
          <w:fldChar w:fldCharType="end"/>
        </w:r>
      </w:hyperlink>
    </w:p>
    <w:p>
      <w:pPr>
        <w:pStyle w:val="TOC2"/>
        <w:tabs>
          <w:tab w:val="right" w:leader="dot" w:pos="9629"/>
        </w:tabs>
        <w:rPr>
          <w:rFonts w:ascii="Calibri" w:hAnsi="Calibri"/>
          <w:noProof/>
          <w:sz w:val="22"/>
        </w:rPr>
      </w:pPr>
      <w:hyperlink w:anchor="_Toc256000011" w:history="1">
        <w:r>
          <w:rPr>
            <w:rStyle w:val="Hyperlink"/>
            <w:snapToGrid w:val="0"/>
          </w:rPr>
          <w:t>2.4</w:t>
        </w:r>
        <w:r>
          <w:rPr>
            <w:rStyle w:val="Hyperlink"/>
            <w:snapToGrid w:val="0"/>
          </w:rPr>
          <w:t xml:space="preserve"> </w:t>
        </w:r>
        <w:r>
          <w:rPr>
            <w:rStyle w:val="Hyperlink"/>
          </w:rPr>
          <w:t>V500R007C71SPH136</w:t>
        </w:r>
        <w:r>
          <w:tab/>
        </w:r>
        <w:r>
          <w:fldChar w:fldCharType="begin"/>
        </w:r>
        <w:r>
          <w:instrText xml:space="preserve"> PAGEREF _Toc256000011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12" w:history="1">
        <w:r>
          <w:rPr>
            <w:rStyle w:val="Hyperlink"/>
            <w:snapToGrid w:val="0"/>
          </w:rPr>
          <w:t>2.5</w:t>
        </w:r>
        <w:r>
          <w:rPr>
            <w:rStyle w:val="Hyperlink"/>
            <w:snapToGrid w:val="0"/>
          </w:rPr>
          <w:t xml:space="preserve"> </w:t>
        </w:r>
        <w:r>
          <w:rPr>
            <w:rStyle w:val="Hyperlink"/>
          </w:rPr>
          <w:t>V500R007C71SPH132</w:t>
        </w:r>
        <w:r>
          <w:tab/>
        </w:r>
        <w:r>
          <w:fldChar w:fldCharType="begin"/>
        </w:r>
        <w:r>
          <w:instrText xml:space="preserve"> PAGEREF _Toc256000012 \h </w:instrText>
        </w:r>
        <w:r>
          <w:fldChar w:fldCharType="separate"/>
        </w:r>
        <w:r>
          <w:t>11</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2.6</w:t>
        </w:r>
        <w:r>
          <w:rPr>
            <w:rStyle w:val="Hyperlink"/>
            <w:snapToGrid w:val="0"/>
          </w:rPr>
          <w:t xml:space="preserve"> </w:t>
        </w:r>
        <w:r>
          <w:rPr>
            <w:rStyle w:val="Hyperlink"/>
          </w:rPr>
          <w:t>V500R007C71SPH130</w:t>
        </w:r>
        <w:r>
          <w:tab/>
        </w:r>
        <w:r>
          <w:fldChar w:fldCharType="begin"/>
        </w:r>
        <w:r>
          <w:instrText xml:space="preserve"> PAGEREF _Toc256000013 \h </w:instrText>
        </w:r>
        <w:r>
          <w:fldChar w:fldCharType="separate"/>
        </w:r>
        <w:r>
          <w:t>12</w:t>
        </w:r>
        <w:r>
          <w:fldChar w:fldCharType="end"/>
        </w:r>
      </w:hyperlink>
    </w:p>
    <w:p>
      <w:pPr>
        <w:pStyle w:val="TOC2"/>
        <w:tabs>
          <w:tab w:val="right" w:leader="dot" w:pos="9629"/>
        </w:tabs>
        <w:rPr>
          <w:rFonts w:ascii="Calibri" w:hAnsi="Calibri"/>
          <w:noProof/>
          <w:sz w:val="22"/>
        </w:rPr>
      </w:pPr>
      <w:hyperlink w:anchor="_Toc256000014" w:history="1">
        <w:r>
          <w:rPr>
            <w:rStyle w:val="Hyperlink"/>
            <w:snapToGrid w:val="0"/>
          </w:rPr>
          <w:t>2.7</w:t>
        </w:r>
        <w:r>
          <w:rPr>
            <w:rStyle w:val="Hyperlink"/>
            <w:snapToGrid w:val="0"/>
          </w:rPr>
          <w:t xml:space="preserve"> </w:t>
        </w:r>
        <w:r>
          <w:rPr>
            <w:rStyle w:val="Hyperlink"/>
          </w:rPr>
          <w:t>V500R007C71SPH120</w:t>
        </w:r>
        <w:r>
          <w:tab/>
        </w:r>
        <w:r>
          <w:fldChar w:fldCharType="begin"/>
        </w:r>
        <w:r>
          <w:instrText xml:space="preserve"> PAGEREF _Toc256000014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15" w:history="1">
        <w:r>
          <w:rPr>
            <w:rStyle w:val="Hyperlink"/>
            <w:snapToGrid w:val="0"/>
          </w:rPr>
          <w:t>2.8</w:t>
        </w:r>
        <w:r>
          <w:rPr>
            <w:rStyle w:val="Hyperlink"/>
            <w:snapToGrid w:val="0"/>
          </w:rPr>
          <w:t xml:space="preserve"> </w:t>
        </w:r>
        <w:r>
          <w:rPr>
            <w:rStyle w:val="Hyperlink"/>
          </w:rPr>
          <w:t>V500R007C71SPH115</w:t>
        </w:r>
        <w:r>
          <w:tab/>
        </w:r>
        <w:r>
          <w:fldChar w:fldCharType="begin"/>
        </w:r>
        <w:r>
          <w:instrText xml:space="preserve"> PAGEREF _Toc256000015 \h </w:instrText>
        </w:r>
        <w:r>
          <w:fldChar w:fldCharType="separate"/>
        </w:r>
        <w:r>
          <w:t>17</w:t>
        </w:r>
        <w:r>
          <w:fldChar w:fldCharType="end"/>
        </w:r>
      </w:hyperlink>
    </w:p>
    <w:p>
      <w:pPr>
        <w:pStyle w:val="TOC2"/>
        <w:tabs>
          <w:tab w:val="right" w:leader="dot" w:pos="9629"/>
        </w:tabs>
        <w:rPr>
          <w:rFonts w:ascii="Calibri" w:hAnsi="Calibri"/>
          <w:noProof/>
          <w:sz w:val="22"/>
        </w:rPr>
      </w:pPr>
      <w:hyperlink w:anchor="_Toc256000016" w:history="1">
        <w:r>
          <w:rPr>
            <w:rStyle w:val="Hyperlink"/>
            <w:snapToGrid w:val="0"/>
          </w:rPr>
          <w:t>2.9</w:t>
        </w:r>
        <w:r>
          <w:rPr>
            <w:rStyle w:val="Hyperlink"/>
            <w:snapToGrid w:val="0"/>
          </w:rPr>
          <w:t xml:space="preserve"> </w:t>
        </w:r>
        <w:r>
          <w:rPr>
            <w:rStyle w:val="Hyperlink"/>
          </w:rPr>
          <w:t>V500R007C71SPH112</w:t>
        </w:r>
        <w:r>
          <w:tab/>
        </w:r>
        <w:r>
          <w:fldChar w:fldCharType="begin"/>
        </w:r>
        <w:r>
          <w:instrText xml:space="preserve"> PAGEREF _Toc256000016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17" w:history="1">
        <w:r>
          <w:rPr>
            <w:rStyle w:val="Hyperlink"/>
            <w:snapToGrid w:val="0"/>
          </w:rPr>
          <w:t>2.10</w:t>
        </w:r>
        <w:r>
          <w:rPr>
            <w:rStyle w:val="Hyperlink"/>
            <w:snapToGrid w:val="0"/>
          </w:rPr>
          <w:t xml:space="preserve"> </w:t>
        </w:r>
        <w:r>
          <w:rPr>
            <w:rStyle w:val="Hyperlink"/>
          </w:rPr>
          <w:t>V500R007C71SPH111</w:t>
        </w:r>
        <w:r>
          <w:tab/>
        </w:r>
        <w:r>
          <w:fldChar w:fldCharType="begin"/>
        </w:r>
        <w:r>
          <w:instrText xml:space="preserve"> PAGEREF _Toc256000017 \h </w:instrText>
        </w:r>
        <w:r>
          <w:fldChar w:fldCharType="separate"/>
        </w:r>
        <w:r>
          <w:t>20</w:t>
        </w:r>
        <w:r>
          <w:fldChar w:fldCharType="end"/>
        </w:r>
      </w:hyperlink>
    </w:p>
    <w:p>
      <w:pPr>
        <w:pStyle w:val="TOC2"/>
        <w:tabs>
          <w:tab w:val="right" w:leader="dot" w:pos="9629"/>
        </w:tabs>
        <w:rPr>
          <w:rFonts w:ascii="Calibri" w:hAnsi="Calibri"/>
          <w:noProof/>
          <w:sz w:val="22"/>
        </w:rPr>
      </w:pPr>
      <w:hyperlink w:anchor="_Toc256000018" w:history="1">
        <w:r>
          <w:rPr>
            <w:rStyle w:val="Hyperlink"/>
            <w:snapToGrid w:val="0"/>
          </w:rPr>
          <w:t>2.11</w:t>
        </w:r>
        <w:r>
          <w:rPr>
            <w:rStyle w:val="Hyperlink"/>
            <w:snapToGrid w:val="0"/>
          </w:rPr>
          <w:t xml:space="preserve"> </w:t>
        </w:r>
        <w:r>
          <w:rPr>
            <w:rStyle w:val="Hyperlink"/>
          </w:rPr>
          <w:t>V500R007C71SPH107</w:t>
        </w:r>
        <w:r>
          <w:tab/>
        </w:r>
        <w:r>
          <w:fldChar w:fldCharType="begin"/>
        </w:r>
        <w:r>
          <w:instrText xml:space="preserve"> PAGEREF _Toc256000018 \h </w:instrText>
        </w:r>
        <w:r>
          <w:fldChar w:fldCharType="separate"/>
        </w:r>
        <w:r>
          <w:t>23</w:t>
        </w:r>
        <w:r>
          <w:fldChar w:fldCharType="end"/>
        </w:r>
      </w:hyperlink>
    </w:p>
    <w:p>
      <w:pPr>
        <w:pStyle w:val="TOC2"/>
        <w:tabs>
          <w:tab w:val="right" w:leader="dot" w:pos="9629"/>
        </w:tabs>
        <w:rPr>
          <w:rFonts w:ascii="Calibri" w:hAnsi="Calibri"/>
          <w:noProof/>
          <w:sz w:val="22"/>
        </w:rPr>
      </w:pPr>
      <w:hyperlink w:anchor="_Toc256000019" w:history="1">
        <w:r>
          <w:rPr>
            <w:rStyle w:val="Hyperlink"/>
            <w:snapToGrid w:val="0"/>
          </w:rPr>
          <w:t>2.12</w:t>
        </w:r>
        <w:r>
          <w:rPr>
            <w:rStyle w:val="Hyperlink"/>
            <w:snapToGrid w:val="0"/>
          </w:rPr>
          <w:t xml:space="preserve"> </w:t>
        </w:r>
        <w:r>
          <w:rPr>
            <w:rStyle w:val="Hyperlink"/>
          </w:rPr>
          <w:t>V500R007C71SPH105</w:t>
        </w:r>
        <w:r>
          <w:tab/>
        </w:r>
        <w:r>
          <w:fldChar w:fldCharType="begin"/>
        </w:r>
        <w:r>
          <w:instrText xml:space="preserve"> PAGEREF _Toc256000019 \h </w:instrText>
        </w:r>
        <w:r>
          <w:fldChar w:fldCharType="separate"/>
        </w:r>
        <w:r>
          <w:t>25</w:t>
        </w:r>
        <w:r>
          <w:fldChar w:fldCharType="end"/>
        </w:r>
      </w:hyperlink>
    </w:p>
    <w:p>
      <w:pPr>
        <w:pStyle w:val="TOC2"/>
        <w:tabs>
          <w:tab w:val="right" w:leader="dot" w:pos="9629"/>
        </w:tabs>
        <w:rPr>
          <w:rFonts w:ascii="Calibri" w:hAnsi="Calibri"/>
          <w:noProof/>
          <w:sz w:val="22"/>
        </w:rPr>
      </w:pPr>
      <w:hyperlink w:anchor="_Toc256000020" w:history="1">
        <w:r>
          <w:rPr>
            <w:rStyle w:val="Hyperlink"/>
            <w:snapToGrid w:val="0"/>
          </w:rPr>
          <w:t>2.13</w:t>
        </w:r>
        <w:r>
          <w:rPr>
            <w:rStyle w:val="Hyperlink"/>
            <w:snapToGrid w:val="0"/>
          </w:rPr>
          <w:t xml:space="preserve"> </w:t>
        </w:r>
        <w:r>
          <w:rPr>
            <w:rStyle w:val="Hyperlink"/>
          </w:rPr>
          <w:t>V500R007C71SPH102</w:t>
        </w:r>
        <w:r>
          <w:tab/>
        </w:r>
        <w:r>
          <w:fldChar w:fldCharType="begin"/>
        </w:r>
        <w:r>
          <w:instrText xml:space="preserve"> PAGEREF _Toc256000020 \h </w:instrText>
        </w:r>
        <w:r>
          <w:fldChar w:fldCharType="separate"/>
        </w:r>
        <w:r>
          <w:t>29</w:t>
        </w:r>
        <w:r>
          <w:fldChar w:fldCharType="end"/>
        </w:r>
      </w:hyperlink>
    </w:p>
    <w:p>
      <w:pPr>
        <w:pStyle w:val="TOC1"/>
        <w:tabs>
          <w:tab w:val="right" w:leader="dot" w:pos="9629"/>
        </w:tabs>
        <w:rPr>
          <w:rFonts w:ascii="Calibri" w:hAnsi="Calibri"/>
          <w:noProof/>
          <w:sz w:val="22"/>
        </w:rPr>
      </w:pPr>
      <w:hyperlink w:anchor="_Toc256000021" w:history="1">
        <w:r>
          <w:rPr>
            <w:rStyle w:val="Hyperlink"/>
          </w:rPr>
          <w:t>A</w:t>
        </w:r>
        <w:r>
          <w:rPr>
            <w:rStyle w:val="Hyperlink"/>
          </w:rPr>
          <w:t xml:space="preserve"> </w:t>
        </w:r>
        <w:r>
          <w:rPr>
            <w:rStyle w:val="Hyperlink"/>
          </w:rPr>
          <w:t>Third-Party Software Vulnerabilities Fixes</w:t>
        </w:r>
        <w:r>
          <w:tab/>
        </w:r>
        <w:r>
          <w:fldChar w:fldCharType="begin"/>
        </w:r>
        <w:r>
          <w:instrText xml:space="preserve"> PAGEREF _Toc256000021 \h </w:instrText>
        </w:r>
        <w:r>
          <w:fldChar w:fldCharType="separate"/>
        </w:r>
        <w:r>
          <w:t>30</w:t>
        </w:r>
        <w:r>
          <w:fldChar w:fldCharType="end"/>
        </w:r>
      </w:hyperlink>
    </w:p>
    <w:p>
      <w:pPr>
        <w:pStyle w:val="TOC1"/>
        <w:tabs>
          <w:tab w:val="right" w:leader="dot" w:pos="9629"/>
        </w:tabs>
        <w:rPr>
          <w:rFonts w:ascii="Calibri" w:hAnsi="Calibri"/>
          <w:noProof/>
          <w:sz w:val="22"/>
        </w:rPr>
      </w:pPr>
      <w:hyperlink w:anchor="_Toc256000022" w:history="1">
        <w:r>
          <w:rPr>
            <w:rStyle w:val="Hyperlink"/>
          </w:rPr>
          <w:t>B</w:t>
        </w:r>
        <w:r>
          <w:rPr>
            <w:rStyle w:val="Hyperlink"/>
          </w:rPr>
          <w:t xml:space="preserve"> </w:t>
        </w:r>
        <w:r>
          <w:rPr>
            <w:rStyle w:val="Hyperlink"/>
          </w:rPr>
          <w:t>Acronyms and Abbreviations</w:t>
        </w:r>
        <w:r>
          <w:tab/>
        </w:r>
        <w:r>
          <w:fldChar w:fldCharType="begin"/>
        </w:r>
        <w:r>
          <w:instrText xml:space="preserve"> PAGEREF _Toc256000022 \h </w:instrText>
        </w:r>
        <w:r>
          <w:fldChar w:fldCharType="separate"/>
        </w:r>
        <w:r>
          <w:t>31</w:t>
        </w:r>
        <w:r>
          <w:fldChar w:fldCharType="end"/>
        </w:r>
      </w:hyperlink>
    </w:p>
    <w:p>
      <w:pPr>
        <w:pStyle w:val="TOC1"/>
        <w:tabs>
          <w:tab w:val="right" w:leader="dot" w:pos="9629"/>
        </w:tabs>
        <w:sectPr>
          <w:headerReference w:type="even" r:id="rId29"/>
          <w:headerReference w:type="default" r:id="rId30"/>
          <w:footerReference w:type="even" r:id="rId31"/>
          <w:footerReference w:type="default" r:id="rId32"/>
          <w:headerReference w:type="first" r:id="rId33"/>
          <w:type w:val="nextPage"/>
          <w:pgSz w:w="11907" w:h="16840" w:code="9"/>
          <w:pgMar w:top="1701" w:right="1134" w:bottom="1701" w:left="1134" w:header="567" w:footer="567" w:gutter="0"/>
          <w:pgNumType w:fmt="lowerRoman"/>
          <w:cols w:space="425"/>
          <w:docGrid w:linePitch="312"/>
        </w:sectPr>
      </w:pPr>
      <w:r>
        <w:fldChar w:fldCharType="end"/>
      </w:r>
    </w:p>
    <w:bookmarkStart w:id="2" w:name="_EN-US_TOPIC_0000001876680070"/>
    <w:bookmarkEnd w:id="2"/>
    <w:p>
      <w:pPr>
        <w:pStyle w:val="Heading1"/>
      </w:pPr>
      <w:bookmarkStart w:id="3" w:name="_EN-US_TOPIC_0000001876680070-chtext"/>
      <w:bookmarkStart w:id="4" w:name="_Toc256000001"/>
      <w:r>
        <w:t>Patch Overview</w:t>
      </w:r>
      <w:bookmarkEnd w:id="4"/>
      <w:bookmarkEnd w:id="3"/>
    </w:p>
    <w:p>
      <w:hyperlink w:anchor="_EN-US_TOPIC_0000001922599129" w:tooltip=" " w:history="1">
        <w:r>
          <w:rPr>
            <w:rStyle w:val="Hyperlink"/>
          </w:rPr>
          <w:t>1.1  Basic Information</w:t>
        </w:r>
      </w:hyperlink>
    </w:p>
    <w:p>
      <w:hyperlink w:anchor="_EN-US_TOPIC_0000001876520206" w:tooltip=" " w:history="1">
        <w:r>
          <w:rPr>
            <w:rStyle w:val="Hyperlink"/>
          </w:rPr>
          <w:t>1.2  Impact of Patch Installation</w:t>
        </w:r>
      </w:hyperlink>
    </w:p>
    <w:p>
      <w:hyperlink w:anchor="_EN-US_TOPIC_0000001922559521" w:tooltip=" " w:history="1">
        <w:r>
          <w:rPr>
            <w:rStyle w:val="Hyperlink"/>
          </w:rPr>
          <w:t>1.3  Version Compatibility Requirements</w:t>
        </w:r>
      </w:hyperlink>
    </w:p>
    <w:bookmarkStart w:id="5" w:name="_EN-US_TOPIC_0000001922599129"/>
    <w:bookmarkEnd w:id="5"/>
    <w:p>
      <w:pPr>
        <w:pStyle w:val="Heading2"/>
        <w:numPr>
          <w:numId w:val="44"/>
        </w:numPr>
      </w:pPr>
      <w:bookmarkStart w:id="6" w:name="_EN-US_TOPIC_0000001922599129-chtext"/>
      <w:bookmarkStart w:id="7" w:name="_Toc256000002"/>
      <w:r>
        <w:t>Basic Information</w:t>
      </w:r>
      <w:bookmarkEnd w:id="7"/>
      <w:bookmarkEnd w:id="6"/>
    </w:p>
    <w:p>
      <w:pPr>
        <w:pStyle w:val="TableDescription"/>
      </w:pPr>
      <w:r>
        <w:t>Basic information about OceanStor V5 series storage systems V500R007C71SPH152.</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486"/>
        <w:gridCol w:w="5452"/>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566" w:type="pct"/>
            <w:tcBorders>
              <w:top w:val="single" w:sz="6" w:space="0" w:color="000000"/>
              <w:bottom w:val="single" w:sz="6" w:space="0" w:color="000000"/>
              <w:right w:val="single" w:sz="6" w:space="0" w:color="000000"/>
            </w:tcBorders>
            <w:shd w:val="clear" w:color="auto" w:fill="D9D9D9"/>
          </w:tcPr>
          <w:p>
            <w:pPr>
              <w:pStyle w:val="TableHeading"/>
            </w:pPr>
            <w:r>
              <w:t>Patch Name</w:t>
            </w:r>
          </w:p>
        </w:tc>
        <w:tc>
          <w:tcPr>
            <w:tcW w:w="3434" w:type="pct"/>
            <w:tcBorders>
              <w:top w:val="single" w:sz="6" w:space="0" w:color="000000"/>
              <w:bottom w:val="single" w:sz="6" w:space="0" w:color="000000"/>
            </w:tcBorders>
          </w:tcPr>
          <w:p>
            <w:pPr>
              <w:pStyle w:val="TableText"/>
            </w:pPr>
            <w:r>
              <w:t>OceanStor V5 series storage systems V500R007C71SPH152</w:t>
            </w:r>
          </w:p>
        </w:tc>
      </w:tr>
      <w:tr>
        <w:tblPrEx>
          <w:tblW w:w="7938" w:type="dxa"/>
          <w:tblInd w:w="1814" w:type="dxa"/>
          <w:tblLayout w:type="fixed"/>
          <w:tblLook w:val="01E0"/>
        </w:tblPrEx>
        <w:trPr>
          <w:cantSplit w:val="0"/>
        </w:trPr>
        <w:tc>
          <w:tcPr>
            <w:tcW w:w="1566" w:type="pct"/>
            <w:tcBorders>
              <w:top w:val="single" w:sz="6" w:space="0" w:color="000000"/>
              <w:bottom w:val="single" w:sz="6" w:space="0" w:color="000000"/>
              <w:right w:val="single" w:sz="6" w:space="0" w:color="000000"/>
            </w:tcBorders>
            <w:shd w:val="clear" w:color="auto" w:fill="D9D9D9"/>
          </w:tcPr>
          <w:p>
            <w:pPr>
              <w:pStyle w:val="TableHeading"/>
            </w:pPr>
            <w:r>
              <w:t>Product Version</w:t>
            </w:r>
          </w:p>
        </w:tc>
        <w:tc>
          <w:tcPr>
            <w:tcW w:w="3434" w:type="pct"/>
            <w:tcBorders>
              <w:top w:val="single" w:sz="6" w:space="0" w:color="000000"/>
              <w:bottom w:val="single" w:sz="6" w:space="0" w:color="000000"/>
            </w:tcBorders>
          </w:tcPr>
          <w:p>
            <w:pPr>
              <w:pStyle w:val="TableText"/>
            </w:pPr>
            <w:r>
              <w:t>OceanStor V5 series storage systems V500R007C71SPC100</w:t>
            </w:r>
          </w:p>
        </w:tc>
      </w:tr>
      <w:tr>
        <w:tblPrEx>
          <w:tblW w:w="7938" w:type="dxa"/>
          <w:tblInd w:w="1814" w:type="dxa"/>
          <w:tblLayout w:type="fixed"/>
          <w:tblLook w:val="01E0"/>
        </w:tblPrEx>
        <w:trPr>
          <w:cantSplit w:val="0"/>
        </w:trPr>
        <w:tc>
          <w:tcPr>
            <w:tcW w:w="1566" w:type="pct"/>
            <w:tcBorders>
              <w:top w:val="single" w:sz="6" w:space="0" w:color="000000"/>
              <w:bottom w:val="single" w:sz="6" w:space="0" w:color="000000"/>
              <w:right w:val="single" w:sz="6" w:space="0" w:color="000000"/>
            </w:tcBorders>
            <w:shd w:val="clear" w:color="auto" w:fill="D9D9D9"/>
          </w:tcPr>
          <w:p>
            <w:pPr>
              <w:pStyle w:val="TableHeading"/>
            </w:pPr>
            <w:r>
              <w:t>Release Date</w:t>
            </w:r>
          </w:p>
        </w:tc>
        <w:tc>
          <w:tcPr>
            <w:tcW w:w="3434" w:type="pct"/>
            <w:tcBorders>
              <w:top w:val="single" w:sz="6" w:space="0" w:color="000000"/>
              <w:bottom w:val="single" w:sz="6" w:space="0" w:color="000000"/>
            </w:tcBorders>
          </w:tcPr>
          <w:p>
            <w:pPr>
              <w:pStyle w:val="TableText"/>
            </w:pPr>
            <w:r>
              <w:t>2024-05-15</w:t>
            </w:r>
          </w:p>
        </w:tc>
      </w:tr>
      <w:tr>
        <w:tblPrEx>
          <w:tblW w:w="7938" w:type="dxa"/>
          <w:tblInd w:w="1814" w:type="dxa"/>
          <w:tblLayout w:type="fixed"/>
          <w:tblLook w:val="01E0"/>
        </w:tblPrEx>
        <w:trPr>
          <w:cantSplit w:val="0"/>
        </w:trPr>
        <w:tc>
          <w:tcPr>
            <w:tcW w:w="1566" w:type="pct"/>
            <w:tcBorders>
              <w:top w:val="single" w:sz="6" w:space="0" w:color="000000"/>
              <w:bottom w:val="single" w:sz="6" w:space="0" w:color="000000"/>
              <w:right w:val="single" w:sz="6" w:space="0" w:color="000000"/>
            </w:tcBorders>
            <w:shd w:val="clear" w:color="auto" w:fill="D9D9D9"/>
          </w:tcPr>
          <w:p>
            <w:pPr>
              <w:pStyle w:val="TableHeading"/>
            </w:pPr>
            <w:r>
              <w:t>Compatibility with Other Patches</w:t>
            </w:r>
          </w:p>
        </w:tc>
        <w:tc>
          <w:tcPr>
            <w:tcW w:w="3434" w:type="pct"/>
            <w:tcBorders>
              <w:top w:val="single" w:sz="6" w:space="0" w:color="000000"/>
              <w:bottom w:val="single" w:sz="6" w:space="0" w:color="000000"/>
            </w:tcBorders>
          </w:tcPr>
          <w:p>
            <w:pPr>
              <w:pStyle w:val="TableText"/>
            </w:pPr>
            <w:r>
              <w:t>patch is compatible with the patch as follow:</w:t>
            </w:r>
          </w:p>
          <w:p>
            <w:pPr>
              <w:pStyle w:val="TableText"/>
            </w:pPr>
            <w:r>
              <w:t>OceanStor V5 series storage systems V500R007C71SPH150</w:t>
            </w:r>
          </w:p>
          <w:p>
            <w:pPr>
              <w:pStyle w:val="TableText"/>
            </w:pPr>
            <w:r>
              <w:t>OceanStor V5 series storage systems V500R007C71SPH137</w:t>
            </w:r>
          </w:p>
          <w:p>
            <w:pPr>
              <w:pStyle w:val="TableText"/>
            </w:pPr>
            <w:r>
              <w:t>OceanStor V5 series storage systems V500R007C71SPH136</w:t>
            </w:r>
          </w:p>
          <w:p>
            <w:pPr>
              <w:pStyle w:val="TableText"/>
            </w:pPr>
            <w:r>
              <w:t>OceanStor V5 series storage systems V500R007C71SPH132</w:t>
            </w:r>
          </w:p>
          <w:p>
            <w:pPr>
              <w:pStyle w:val="TableText"/>
            </w:pPr>
            <w:r>
              <w:t>OceanStor V5 series storage systems V500R007C71SPH130</w:t>
            </w:r>
          </w:p>
          <w:p>
            <w:pPr>
              <w:pStyle w:val="TableText"/>
            </w:pPr>
            <w:r>
              <w:t>OceanStor V5 series storage systems V500R007C71SPH120</w:t>
            </w:r>
          </w:p>
          <w:p>
            <w:pPr>
              <w:pStyle w:val="TableText"/>
            </w:pPr>
            <w:r>
              <w:t>OceanStor V5 series storage systems V500R007C71SPH115</w:t>
            </w:r>
          </w:p>
          <w:p>
            <w:pPr>
              <w:pStyle w:val="TableText"/>
            </w:pPr>
            <w:r>
              <w:t>OceanStor V5 series storage systems V500R007C71SPH112</w:t>
            </w:r>
          </w:p>
          <w:p>
            <w:pPr>
              <w:pStyle w:val="TableText"/>
            </w:pPr>
            <w:r>
              <w:t>OceanStor V5 series storage systems V500R007C71SPH111</w:t>
            </w:r>
          </w:p>
          <w:p>
            <w:pPr>
              <w:pStyle w:val="TableText"/>
            </w:pPr>
            <w:r>
              <w:t>OceanStor V5 series storage systems V500R007C71SPH107</w:t>
            </w:r>
          </w:p>
          <w:p>
            <w:pPr>
              <w:pStyle w:val="TableText"/>
            </w:pPr>
            <w:r>
              <w:t>OceanStor V5 series storage systems V500R007C71SPH105</w:t>
            </w:r>
          </w:p>
          <w:p>
            <w:pPr>
              <w:pStyle w:val="TableText"/>
            </w:pPr>
            <w:r>
              <w:t>OceanStor V5 series storage systems V500R007C71SPH102</w:t>
            </w:r>
          </w:p>
        </w:tc>
      </w:tr>
    </w:tbl>
    <w:p/>
    <w:bookmarkStart w:id="8" w:name="_EN-US_TOPIC_0000001876520206"/>
    <w:bookmarkEnd w:id="8"/>
    <w:p>
      <w:pPr>
        <w:pStyle w:val="Heading2"/>
      </w:pPr>
      <w:bookmarkStart w:id="9" w:name="_EN-US_TOPIC_0000001876520206-chtext"/>
      <w:bookmarkStart w:id="10" w:name="_Toc256000003"/>
      <w:r>
        <w:t>Impact of Patch Installation</w:t>
      </w:r>
      <w:bookmarkEnd w:id="10"/>
      <w:bookmarkEnd w:id="9"/>
    </w:p>
    <w:p>
      <w:pPr>
        <w:pStyle w:val="Heading3"/>
        <w:numPr>
          <w:numId w:val="46"/>
        </w:numPr>
      </w:pPr>
      <w:bookmarkStart w:id="11" w:name="_EN-US_TOPIC_0000001922559505-chtext"/>
      <w:bookmarkStart w:id="12" w:name="_Toc256000004"/>
      <w:r>
        <w:t>Impact on the System During Installation</w:t>
      </w:r>
      <w:bookmarkEnd w:id="12"/>
      <w:bookmarkEnd w:id="11"/>
    </w:p>
    <w:p>
      <w:pPr>
        <w:pStyle w:val="BlockLabel"/>
      </w:pPr>
      <w:r>
        <w:t>Impact on Services</w:t>
      </w:r>
    </w:p>
    <w:p>
      <w:r>
        <w:t>None.</w:t>
      </w:r>
    </w:p>
    <w:p>
      <w:pPr>
        <w:pStyle w:val="BlockLabel"/>
      </w:pPr>
      <w:r>
        <w:t>Impact on Network Communication</w:t>
      </w:r>
    </w:p>
    <w:p>
      <w:r>
        <w:t>None.</w:t>
      </w:r>
    </w:p>
    <w:p>
      <w:pPr>
        <w:pStyle w:val="BlockLabel"/>
      </w:pPr>
      <w:r>
        <w:t>Impact on Command-Line Interface (CLI)</w:t>
      </w:r>
    </w:p>
    <w:p>
      <w:r>
        <w:t>None.</w:t>
      </w:r>
    </w:p>
    <w:p>
      <w:pPr>
        <w:pStyle w:val="Heading3"/>
      </w:pPr>
      <w:bookmarkStart w:id="13" w:name="_EN-US_TOPIC_0000001876520190-chtext"/>
      <w:bookmarkStart w:id="14" w:name="_Toc256000005"/>
      <w:r>
        <w:t>Impact on the System After Installation</w:t>
      </w:r>
      <w:bookmarkEnd w:id="14"/>
      <w:bookmarkEnd w:id="13"/>
    </w:p>
    <w:p>
      <w:r>
        <w:t>None.</w:t>
      </w:r>
    </w:p>
    <w:bookmarkStart w:id="15" w:name="_EN-US_TOPIC_0000001922559521"/>
    <w:bookmarkEnd w:id="15"/>
    <w:p>
      <w:pPr>
        <w:pStyle w:val="Heading2"/>
      </w:pPr>
      <w:bookmarkStart w:id="16" w:name="_EN-US_TOPIC_0000001922559521-chtext"/>
      <w:bookmarkStart w:id="17" w:name="_Toc256000006"/>
      <w:r>
        <w:t>Version Compatibility Requirements</w:t>
      </w:r>
      <w:bookmarkEnd w:id="17"/>
      <w:bookmarkEnd w:id="16"/>
    </w:p>
    <w:p>
      <w:r>
        <w:t>The mapping relationships are consistent with those of OceanStor V5 Series Storage Systems V500R007C71SPC100.</w:t>
      </w:r>
    </w:p>
    <w:p>
      <w:pPr>
        <w:sectPr>
          <w:headerReference w:type="even" r:id="rId34"/>
          <w:headerReference w:type="default" r:id="rId35"/>
          <w:footerReference w:type="even" r:id="rId36"/>
          <w:footerReference w:type="default" r:id="rId37"/>
          <w:type w:val="nextPage"/>
          <w:pgSz w:w="11907" w:h="16840" w:code="9"/>
          <w:pgMar w:top="1701" w:right="1134" w:bottom="1701" w:left="1134" w:header="567" w:footer="567" w:gutter="0"/>
          <w:pgNumType w:fmt="decimal" w:start="1"/>
          <w:cols w:space="425"/>
          <w:docGrid w:linePitch="312"/>
        </w:sectPr>
      </w:pPr>
    </w:p>
    <w:bookmarkStart w:id="18" w:name="_EN-US_TOPIC_0000001922599113"/>
    <w:bookmarkEnd w:id="18"/>
    <w:p>
      <w:pPr>
        <w:pStyle w:val="Heading1"/>
      </w:pPr>
      <w:bookmarkStart w:id="19" w:name="_EN-US_TOPIC_0000001922599113-chtext"/>
      <w:bookmarkStart w:id="20" w:name="_Toc256000007"/>
      <w:r>
        <w:t>Resolved Issues</w:t>
      </w:r>
      <w:bookmarkEnd w:id="20"/>
      <w:bookmarkEnd w:id="19"/>
    </w:p>
    <w:p>
      <w:hyperlink w:anchor="_EN-US_TOPIC_0000001876520186" w:tooltip=" " w:history="1">
        <w:r>
          <w:rPr>
            <w:rStyle w:val="Hyperlink"/>
          </w:rPr>
          <w:t>2.1  V500R007C71SPH152</w:t>
        </w:r>
      </w:hyperlink>
    </w:p>
    <w:p>
      <w:hyperlink w:anchor="_EN-US_TOPIC_0000001922559517" w:tooltip=" " w:history="1">
        <w:r>
          <w:rPr>
            <w:rStyle w:val="Hyperlink"/>
          </w:rPr>
          <w:t>2.2  V500R007C71SPH150</w:t>
        </w:r>
      </w:hyperlink>
    </w:p>
    <w:p>
      <w:hyperlink w:anchor="_EN-US_TOPIC_0000001876520198" w:tooltip=" " w:history="1">
        <w:r>
          <w:rPr>
            <w:rStyle w:val="Hyperlink"/>
          </w:rPr>
          <w:t>2.3  V500R007C71SPH137</w:t>
        </w:r>
      </w:hyperlink>
    </w:p>
    <w:p>
      <w:hyperlink w:anchor="_EN-US_TOPIC_0000001876680066" w:tooltip=" " w:history="1">
        <w:r>
          <w:rPr>
            <w:rStyle w:val="Hyperlink"/>
          </w:rPr>
          <w:t>2.4  V500R007C71SPH136</w:t>
        </w:r>
      </w:hyperlink>
    </w:p>
    <w:p>
      <w:hyperlink w:anchor="_EN-US_TOPIC_0000001876520202" w:tooltip=" " w:history="1">
        <w:r>
          <w:rPr>
            <w:rStyle w:val="Hyperlink"/>
          </w:rPr>
          <w:t>2.5  V500R007C71SPH132</w:t>
        </w:r>
      </w:hyperlink>
    </w:p>
    <w:p>
      <w:hyperlink w:anchor="_EN-US_TOPIC_0000001922599117" w:tooltip=" " w:history="1">
        <w:r>
          <w:rPr>
            <w:rStyle w:val="Hyperlink"/>
          </w:rPr>
          <w:t>2.6  V500R007C71SPH130</w:t>
        </w:r>
      </w:hyperlink>
    </w:p>
    <w:p>
      <w:hyperlink w:anchor="_EN-US_TOPIC_0000001922559513" w:tooltip=" " w:history="1">
        <w:r>
          <w:rPr>
            <w:rStyle w:val="Hyperlink"/>
          </w:rPr>
          <w:t>2.7  V500R007C71SPH120</w:t>
        </w:r>
      </w:hyperlink>
    </w:p>
    <w:p>
      <w:hyperlink w:anchor="_EN-US_TOPIC_0000001876680074" w:tooltip=" " w:history="1">
        <w:r>
          <w:rPr>
            <w:rStyle w:val="Hyperlink"/>
          </w:rPr>
          <w:t>2.8  V500R007C71SPH115</w:t>
        </w:r>
      </w:hyperlink>
    </w:p>
    <w:p>
      <w:hyperlink w:anchor="_EN-US_TOPIC_0000001922599121" w:tooltip=" " w:history="1">
        <w:r>
          <w:rPr>
            <w:rStyle w:val="Hyperlink"/>
          </w:rPr>
          <w:t>2.9  V500R007C71SPH112</w:t>
        </w:r>
      </w:hyperlink>
    </w:p>
    <w:p>
      <w:hyperlink w:anchor="_EN-US_TOPIC_0000001922559525" w:tooltip=" " w:history="1">
        <w:r>
          <w:rPr>
            <w:rStyle w:val="Hyperlink"/>
          </w:rPr>
          <w:t>2.10  V500R007C71SPH111</w:t>
        </w:r>
      </w:hyperlink>
    </w:p>
    <w:p>
      <w:hyperlink w:anchor="_EN-US_TOPIC_0000001922599125" w:tooltip=" " w:history="1">
        <w:r>
          <w:rPr>
            <w:rStyle w:val="Hyperlink"/>
          </w:rPr>
          <w:t>2.11  V500R007C71SPH107</w:t>
        </w:r>
      </w:hyperlink>
    </w:p>
    <w:p>
      <w:hyperlink w:anchor="_EN-US_TOPIC_0000001922559509" w:tooltip=" " w:history="1">
        <w:r>
          <w:rPr>
            <w:rStyle w:val="Hyperlink"/>
          </w:rPr>
          <w:t>2.12  V500R007C71SPH105</w:t>
        </w:r>
      </w:hyperlink>
    </w:p>
    <w:p>
      <w:hyperlink w:anchor="_EN-US_TOPIC_0000001876520194" w:tooltip=" " w:history="1">
        <w:r>
          <w:rPr>
            <w:rStyle w:val="Hyperlink"/>
          </w:rPr>
          <w:t>2.13  V500R007C71SPH102</w:t>
        </w:r>
      </w:hyperlink>
    </w:p>
    <w:bookmarkStart w:id="21" w:name="_EN-US_TOPIC_0000001876520186"/>
    <w:bookmarkEnd w:id="21"/>
    <w:p>
      <w:pPr>
        <w:pStyle w:val="Heading2"/>
        <w:numPr>
          <w:numId w:val="50"/>
        </w:numPr>
      </w:pPr>
      <w:bookmarkStart w:id="22" w:name="_EN-US_TOPIC_0000001876520186-chtext"/>
      <w:bookmarkStart w:id="23" w:name="_Toc256000008"/>
      <w:r>
        <w:t>V500R007C71SPH152</w:t>
      </w:r>
      <w:bookmarkEnd w:id="23"/>
      <w:bookmarkEnd w:id="22"/>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38" w:type="pct"/>
            <w:tcBorders>
              <w:top w:val="single" w:sz="6" w:space="0" w:color="000000"/>
              <w:bottom w:val="single" w:sz="6" w:space="0" w:color="000000"/>
            </w:tcBorders>
          </w:tcPr>
          <w:p>
            <w:pPr>
              <w:pStyle w:val="TableText"/>
            </w:pPr>
            <w:r>
              <w:t>DTS2024041206289</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controller enclosure is powered off unexpectedly.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38" w:type="pct"/>
            <w:tcBorders>
              <w:top w:val="single" w:sz="6" w:space="0" w:color="000000"/>
              <w:bottom w:val="single" w:sz="6" w:space="0" w:color="000000"/>
            </w:tcBorders>
          </w:tcPr>
          <w:p>
            <w:pPr>
              <w:pStyle w:val="TableText"/>
            </w:pPr>
            <w:r>
              <w:t>The capacitor of the power-off switch circuit on the controller enclosure fails (this occurs with an extremely low probability), pulling down the power-off control level.</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38" w:type="pct"/>
            <w:tcBorders>
              <w:top w:val="single" w:sz="6" w:space="0" w:color="000000"/>
              <w:bottom w:val="single" w:sz="6" w:space="0" w:color="000000"/>
            </w:tcBorders>
          </w:tcPr>
          <w:p>
            <w:pPr>
              <w:pStyle w:val="TableText"/>
            </w:pPr>
            <w:r>
              <w:t>The controller enclosure is powered off unexpectedly, and services are interrupted.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Module</w:t>
            </w:r>
          </w:p>
        </w:tc>
        <w:tc>
          <w:tcPr>
            <w:tcW w:w="4138" w:type="pct"/>
            <w:tcBorders>
              <w:top w:val="single" w:sz="6" w:space="0" w:color="000000"/>
              <w:bottom w:val="single" w:sz="6" w:space="0" w:color="000000"/>
            </w:tcBorders>
          </w:tcPr>
          <w:p>
            <w:pPr>
              <w:pStyle w:val="TableText"/>
            </w:pPr>
            <w:r>
              <w:t>DMI</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According to the current power-off policy, the controller enclosure will be powered off when the capacitor fails.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Disable the function of powering off the device by pressing the power button by default.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38" w:type="pct"/>
            <w:tcBorders>
              <w:top w:val="single" w:sz="6" w:space="0" w:color="000000"/>
              <w:bottom w:val="single" w:sz="6" w:space="0" w:color="000000"/>
            </w:tcBorders>
          </w:tcPr>
          <w:p>
            <w:pPr>
              <w:pStyle w:val="TableText"/>
            </w:pPr>
            <w:r>
              <w:t>DTS2024032811665</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Importing the DeviceManager certificate using the CLI fails.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38" w:type="pct"/>
            <w:tcBorders>
              <w:top w:val="single" w:sz="6" w:space="0" w:color="000000"/>
              <w:bottom w:val="single" w:sz="6" w:space="0" w:color="000000"/>
            </w:tcBorders>
          </w:tcPr>
          <w:p>
            <w:pPr>
              <w:pStyle w:val="TableText"/>
            </w:pPr>
            <w:r>
              <w:t>Use the CLI to replace the DeviceManager certificate.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38" w:type="pct"/>
            <w:tcBorders>
              <w:top w:val="single" w:sz="6" w:space="0" w:color="000000"/>
              <w:bottom w:val="single" w:sz="6" w:space="0" w:color="000000"/>
            </w:tcBorders>
          </w:tcPr>
          <w:p>
            <w:pPr>
              <w:pStyle w:val="TableText"/>
            </w:pPr>
            <w:r>
              <w:t>The DeviceManager certificate cannot be replaced.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Module</w:t>
            </w:r>
          </w:p>
        </w:tc>
        <w:tc>
          <w:tcPr>
            <w:tcW w:w="4138" w:type="pct"/>
            <w:tcBorders>
              <w:top w:val="single" w:sz="6" w:space="0" w:color="000000"/>
              <w:bottom w:val="single" w:sz="6" w:space="0" w:color="000000"/>
            </w:tcBorders>
          </w:tcPr>
          <w:p>
            <w:pPr>
              <w:pStyle w:val="TableText"/>
            </w:pPr>
            <w:r>
              <w:t>CFG</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original command cannot be used to replace the DeviceManager certificates of all nodes.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Add a minisystem command for DeviceManager certificate replacement.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bookmarkStart w:id="24" w:name="_EN-US_TOPIC_0000001922559517"/>
    <w:bookmarkEnd w:id="24"/>
    <w:p>
      <w:pPr>
        <w:pStyle w:val="Heading2"/>
      </w:pPr>
      <w:bookmarkStart w:id="25" w:name="_EN-US_TOPIC_0000001922559517-chtext"/>
      <w:bookmarkStart w:id="26" w:name="_Toc256000009"/>
      <w:r>
        <w:t>V500R007C71SPH150</w:t>
      </w:r>
      <w:bookmarkEnd w:id="26"/>
      <w:bookmarkEnd w:id="25"/>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38" w:type="pct"/>
            <w:tcBorders>
              <w:top w:val="single" w:sz="6" w:space="0" w:color="000000"/>
              <w:bottom w:val="single" w:sz="6" w:space="0" w:color="000000"/>
            </w:tcBorders>
          </w:tcPr>
          <w:p>
            <w:pPr>
              <w:pStyle w:val="TableText"/>
            </w:pPr>
            <w:r>
              <w:t>DTS2024012511904</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database is not running properly. As a result, an error is reported during NAS share access, and DeviceManager access times out.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38" w:type="pct"/>
            <w:tcBorders>
              <w:top w:val="single" w:sz="6" w:space="0" w:color="000000"/>
              <w:bottom w:val="single" w:sz="6" w:space="0" w:color="000000"/>
            </w:tcBorders>
          </w:tcPr>
          <w:p>
            <w:pPr>
              <w:pStyle w:val="TableText"/>
            </w:pPr>
            <w:r>
              <w:t>There is a low probability that this issue occurs when a large number of concurrent CCDB access requests are sent.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38" w:type="pct"/>
            <w:tcBorders>
              <w:top w:val="single" w:sz="6" w:space="0" w:color="000000"/>
              <w:bottom w:val="single" w:sz="6" w:space="0" w:color="000000"/>
            </w:tcBorders>
          </w:tcPr>
          <w:p>
            <w:pPr>
              <w:pStyle w:val="TableText"/>
            </w:pPr>
            <w:r>
              <w:t>The CCDB cannot provide services after database restoration fails. As a result, the CCDB fails to be accessed during service access and an error is reported.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Module</w:t>
            </w:r>
          </w:p>
        </w:tc>
        <w:tc>
          <w:tcPr>
            <w:tcW w:w="4138" w:type="pct"/>
            <w:tcBorders>
              <w:top w:val="single" w:sz="6" w:space="0" w:color="000000"/>
              <w:bottom w:val="single" w:sz="6" w:space="0" w:color="000000"/>
            </w:tcBorders>
          </w:tcPr>
          <w:p>
            <w:pPr>
              <w:pStyle w:val="TableText"/>
            </w:pPr>
            <w:r>
              <w:t>CCDB</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There is a low probability that concurrent access causes the database status to be abnormal and cannot provide services. As a result, an error is reported during NAS service access.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Modify the logic for processing abnormal DB status, and enhance the self-recovery capability of the CCDB.</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38" w:type="pct"/>
            <w:tcBorders>
              <w:top w:val="single" w:sz="6" w:space="0" w:color="000000"/>
              <w:bottom w:val="single" w:sz="6" w:space="0" w:color="000000"/>
            </w:tcBorders>
          </w:tcPr>
          <w:p>
            <w:pPr>
              <w:pStyle w:val="TableText"/>
            </w:pPr>
            <w:r>
              <w:t>DTS2023062702953</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It takes a long time to run commands to query performance data in batches through the REST interface.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38" w:type="pct"/>
            <w:tcBorders>
              <w:top w:val="single" w:sz="6" w:space="0" w:color="000000"/>
              <w:bottom w:val="single" w:sz="6" w:space="0" w:color="000000"/>
            </w:tcBorders>
          </w:tcPr>
          <w:p>
            <w:pPr>
              <w:pStyle w:val="TableText"/>
            </w:pPr>
            <w:r>
              <w:t>The /performance_data interface is used to query performance data in batches.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38" w:type="pct"/>
            <w:tcBorders>
              <w:top w:val="single" w:sz="6" w:space="0" w:color="000000"/>
              <w:bottom w:val="single" w:sz="6" w:space="0" w:color="000000"/>
            </w:tcBorders>
          </w:tcPr>
          <w:p>
            <w:pPr>
              <w:pStyle w:val="TableText"/>
            </w:pPr>
            <w:r>
              <w:t>Querying performance statistics through the REST interface is slow, and the average interface response time exceeds 5 seconds.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Module</w:t>
            </w:r>
          </w:p>
        </w:tc>
        <w:tc>
          <w:tcPr>
            <w:tcW w:w="4138" w:type="pct"/>
            <w:tcBorders>
              <w:top w:val="single" w:sz="6" w:space="0" w:color="000000"/>
              <w:bottom w:val="single" w:sz="6" w:space="0" w:color="000000"/>
            </w:tcBorders>
          </w:tcPr>
          <w:p>
            <w:pPr>
              <w:pStyle w:val="TableText"/>
            </w:pPr>
            <w:r>
              <w:t>OMM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polling requests wait for a long time.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time required for batch query of performance data through REST interfaces.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38" w:type="pct"/>
            <w:tcBorders>
              <w:top w:val="single" w:sz="6" w:space="0" w:color="000000"/>
              <w:bottom w:val="single" w:sz="6" w:space="0" w:color="000000"/>
            </w:tcBorders>
          </w:tcPr>
          <w:p>
            <w:pPr>
              <w:pStyle w:val="TableText"/>
            </w:pPr>
            <w:r>
              <w:t>DTS2024012309517</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storage CPU usage and disk IOPS surge in a short period of time.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38" w:type="pct"/>
            <w:tcBorders>
              <w:top w:val="single" w:sz="6" w:space="0" w:color="000000"/>
              <w:bottom w:val="single" w:sz="6" w:space="0" w:color="000000"/>
            </w:tcBorders>
          </w:tcPr>
          <w:p>
            <w:pPr>
              <w:pStyle w:val="TableText"/>
            </w:pPr>
            <w:r>
              <w:t>Services are running properly on 4K disks, and slow disks exist.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38" w:type="pct"/>
            <w:tcBorders>
              <w:top w:val="single" w:sz="6" w:space="0" w:color="000000"/>
              <w:bottom w:val="single" w:sz="6" w:space="0" w:color="000000"/>
            </w:tcBorders>
          </w:tcPr>
          <w:p>
            <w:pPr>
              <w:pStyle w:val="TableText"/>
            </w:pPr>
            <w:r>
              <w:t>The CPU usage surges unexpectedly within 1 minute.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Module</w:t>
            </w:r>
          </w:p>
        </w:tc>
        <w:tc>
          <w:tcPr>
            <w:tcW w:w="4138" w:type="pct"/>
            <w:tcBorders>
              <w:top w:val="single" w:sz="6" w:space="0" w:color="000000"/>
              <w:bottom w:val="single" w:sz="6" w:space="0" w:color="000000"/>
            </w:tcBorders>
          </w:tcPr>
          <w:p>
            <w:pPr>
              <w:pStyle w:val="TableText"/>
            </w:pPr>
            <w:r>
              <w:t>Disk</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processing logic of 4K disks is improper when I/Os are tested in the background. As a result, the CPU usage and IOPS are high.</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processing logic.</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38" w:type="pct"/>
            <w:tcBorders>
              <w:top w:val="single" w:sz="6" w:space="0" w:color="000000"/>
              <w:bottom w:val="single" w:sz="6" w:space="0" w:color="000000"/>
            </w:tcBorders>
          </w:tcPr>
          <w:p>
            <w:pPr>
              <w:pStyle w:val="TableText"/>
            </w:pPr>
            <w:r>
              <w:t>DTS2024012405091</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 maintenance administrator cannot use SmartKit to perform inspection and routine O&amp;M.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38" w:type="pct"/>
            <w:tcBorders>
              <w:top w:val="single" w:sz="6" w:space="0" w:color="000000"/>
              <w:bottom w:val="single" w:sz="6" w:space="0" w:color="000000"/>
            </w:tcBorders>
          </w:tcPr>
          <w:p>
            <w:pPr>
              <w:pStyle w:val="TableText"/>
            </w:pPr>
            <w:r>
              <w:t>The maintenance administrator logs in to SmartKit.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38" w:type="pct"/>
            <w:tcBorders>
              <w:top w:val="single" w:sz="6" w:space="0" w:color="000000"/>
              <w:bottom w:val="single" w:sz="6" w:space="0" w:color="000000"/>
            </w:tcBorders>
          </w:tcPr>
          <w:p>
            <w:pPr>
              <w:pStyle w:val="TableText"/>
            </w:pPr>
            <w:r>
              <w:t>The maintenance administrator has no permission to run some check commands. As a result, some inspection tasks fail.</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Module</w:t>
            </w:r>
          </w:p>
        </w:tc>
        <w:tc>
          <w:tcPr>
            <w:tcW w:w="4138" w:type="pct"/>
            <w:tcBorders>
              <w:top w:val="single" w:sz="6" w:space="0" w:color="000000"/>
              <w:bottom w:val="single" w:sz="6" w:space="0" w:color="000000"/>
            </w:tcBorders>
          </w:tcPr>
          <w:p>
            <w:pPr>
              <w:pStyle w:val="TableText"/>
            </w:pPr>
            <w:r>
              <w:t>OMM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execution of some commands requires administrator permissions.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Modify the permission requirements of commands.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38" w:type="pct"/>
            <w:tcBorders>
              <w:top w:val="single" w:sz="6" w:space="0" w:color="000000"/>
              <w:bottom w:val="single" w:sz="6" w:space="0" w:color="000000"/>
            </w:tcBorders>
          </w:tcPr>
          <w:p>
            <w:pPr>
              <w:pStyle w:val="TableText"/>
            </w:pPr>
            <w:r>
              <w:t>DTS2024011904725</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syslog server does not report storage alarms.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38" w:type="pct"/>
            <w:tcBorders>
              <w:top w:val="single" w:sz="6" w:space="0" w:color="000000"/>
              <w:bottom w:val="single" w:sz="6" w:space="0" w:color="000000"/>
            </w:tcBorders>
          </w:tcPr>
          <w:p>
            <w:pPr>
              <w:pStyle w:val="TableText"/>
            </w:pPr>
            <w:r>
              <w:t>Syslog notification is configured and an incompatible syslog server is connected to.</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38" w:type="pct"/>
            <w:tcBorders>
              <w:top w:val="single" w:sz="6" w:space="0" w:color="000000"/>
              <w:bottom w:val="single" w:sz="6" w:space="0" w:color="000000"/>
            </w:tcBorders>
          </w:tcPr>
          <w:p>
            <w:pPr>
              <w:pStyle w:val="TableText"/>
            </w:pPr>
            <w:r>
              <w:t>The alarm syslog function is incompatible with some syslog servers. As a result, the alarms cannot be reported.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Module</w:t>
            </w:r>
          </w:p>
        </w:tc>
        <w:tc>
          <w:tcPr>
            <w:tcW w:w="4138" w:type="pct"/>
            <w:tcBorders>
              <w:top w:val="single" w:sz="6" w:space="0" w:color="000000"/>
              <w:bottom w:val="single" w:sz="6" w:space="0" w:color="000000"/>
            </w:tcBorders>
          </w:tcPr>
          <w:p>
            <w:pPr>
              <w:pStyle w:val="TableText"/>
            </w:pPr>
            <w:r>
              <w:t>OMM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alarm syslog is incompatible with some syslog servers.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interworking with syslog servers.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38" w:type="pct"/>
            <w:tcBorders>
              <w:top w:val="single" w:sz="6" w:space="0" w:color="000000"/>
              <w:bottom w:val="single" w:sz="6" w:space="0" w:color="000000"/>
            </w:tcBorders>
          </w:tcPr>
          <w:p>
            <w:pPr>
              <w:pStyle w:val="TableText"/>
            </w:pPr>
            <w:r>
              <w:t>DTS2024021500349</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Fault detection policies for silent corruptions of the system disk are optimized.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38" w:type="pct"/>
            <w:tcBorders>
              <w:top w:val="single" w:sz="6" w:space="0" w:color="000000"/>
              <w:bottom w:val="single" w:sz="6" w:space="0" w:color="000000"/>
            </w:tcBorders>
          </w:tcPr>
          <w:p>
            <w:pPr>
              <w:pStyle w:val="TableText"/>
            </w:pPr>
            <w:r>
              <w:t>The system disk experiences verification errors.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38" w:type="pct"/>
            <w:tcBorders>
              <w:top w:val="single" w:sz="6" w:space="0" w:color="000000"/>
              <w:bottom w:val="single" w:sz="6" w:space="0" w:color="000000"/>
            </w:tcBorders>
          </w:tcPr>
          <w:p>
            <w:pPr>
              <w:pStyle w:val="TableText"/>
            </w:pPr>
            <w:r>
              <w:t>No internal recovery mechanism is available when a system disk of a controller is faulty.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Module</w:t>
            </w:r>
          </w:p>
        </w:tc>
        <w:tc>
          <w:tcPr>
            <w:tcW w:w="4138" w:type="pct"/>
            <w:tcBorders>
              <w:top w:val="single" w:sz="6" w:space="0" w:color="000000"/>
              <w:bottom w:val="single" w:sz="6" w:space="0" w:color="000000"/>
            </w:tcBorders>
          </w:tcPr>
          <w:p>
            <w:pPr>
              <w:pStyle w:val="TableText"/>
            </w:pPr>
            <w:r>
              <w:t>FDSA</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Silent corruptions occur on some partitions and files of the system dis. However, only an alarm is generated, and no recovery mechanism is available.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Add detection and recovery measures for verification errors in key partitions of the system disk.</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38" w:type="pct"/>
            <w:tcBorders>
              <w:top w:val="single" w:sz="6" w:space="0" w:color="000000"/>
              <w:bottom w:val="single" w:sz="6" w:space="0" w:color="000000"/>
            </w:tcBorders>
          </w:tcPr>
          <w:p>
            <w:pPr>
              <w:pStyle w:val="TableText"/>
            </w:pPr>
            <w:r>
              <w:t>DTS2023121815044</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 memory fault alarm is generated on the storage device.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38" w:type="pct"/>
            <w:tcBorders>
              <w:top w:val="single" w:sz="6" w:space="0" w:color="000000"/>
              <w:bottom w:val="single" w:sz="6" w:space="0" w:color="000000"/>
            </w:tcBorders>
          </w:tcPr>
          <w:p>
            <w:pPr>
              <w:pStyle w:val="TableText"/>
            </w:pPr>
            <w:r>
              <w:t>A correctable error occurs on the memory.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38" w:type="pct"/>
            <w:tcBorders>
              <w:top w:val="single" w:sz="6" w:space="0" w:color="000000"/>
              <w:bottom w:val="single" w:sz="6" w:space="0" w:color="000000"/>
            </w:tcBorders>
          </w:tcPr>
          <w:p>
            <w:pPr>
              <w:pStyle w:val="TableText"/>
            </w:pPr>
            <w:r>
              <w:t>The storage system reports a correctable memory error alarm.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Module</w:t>
            </w:r>
          </w:p>
        </w:tc>
        <w:tc>
          <w:tcPr>
            <w:tcW w:w="4138" w:type="pct"/>
            <w:tcBorders>
              <w:top w:val="single" w:sz="6" w:space="0" w:color="000000"/>
              <w:bottom w:val="single" w:sz="6" w:space="0" w:color="000000"/>
            </w:tcBorders>
          </w:tcPr>
          <w:p>
            <w:pPr>
              <w:pStyle w:val="TableText"/>
            </w:pPr>
            <w:r>
              <w:t>Pangu</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number of correctable errors in the memory exceeds the threshold. As a result, an alarm is reported.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memory fault prediction algorithm to prevent false alarms caused by correctable memory errors.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bookmarkStart w:id="27" w:name="_EN-US_TOPIC_0000001876520198"/>
    <w:bookmarkEnd w:id="27"/>
    <w:p>
      <w:pPr>
        <w:pStyle w:val="Heading2"/>
      </w:pPr>
      <w:bookmarkStart w:id="28" w:name="_EN-US_TOPIC_0000001876520198-chtext"/>
      <w:bookmarkStart w:id="29" w:name="_Toc256000010"/>
      <w:r>
        <w:t>V500R007C71SPH137</w:t>
      </w:r>
      <w:bookmarkEnd w:id="29"/>
      <w:bookmarkEnd w:id="28"/>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performance of the foreground service on the host decreases due to a large number of unmap services.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unmap services occupy too many resources.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unmap processing mechanism to prevent unmap services from preempting system resources and deteriorating host service performance.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bookmarkStart w:id="30" w:name="_EN-US_TOPIC_0000001876680066"/>
    <w:bookmarkEnd w:id="30"/>
    <w:p>
      <w:pPr>
        <w:pStyle w:val="Heading2"/>
      </w:pPr>
      <w:bookmarkStart w:id="31" w:name="_EN-US_TOPIC_0000001876680066-chtext"/>
      <w:bookmarkStart w:id="32" w:name="_Toc256000011"/>
      <w:r>
        <w:t>V500R007C71SPH136</w:t>
      </w:r>
      <w:bookmarkEnd w:id="32"/>
      <w:bookmarkEnd w:id="31"/>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DME is connected to a storage device, a performance threshold alarm is falsely reported.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algorithm used by DME to obtain storage performance statistics is defective.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algorithm used by DME to obtain storage performance statistics.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host performance statistics cannot be queried through the RESTful API for batch query.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Host statistics are not included in external performance statistics.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Add the function of querying host performance statistics.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iSCSI replication link resource object with the same name cannot be viewed through SystemReporter.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name of the iSCSI replication link resource object already exists and is deduplicated.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name of the iSCSI replication link resource object.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the network fluctuates, SystemReporter reports a device offline alarm.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device online detection interface fails to be invoked due to network packet loss, and no retry is performed.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The retry mechanism is added to the scenario of invoking of the device online detection interface.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Tomcat version of SystemReporter is outdated.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Tomcat version number is fixed to 1 in the SystemReporter.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Displays the actual Tomcat version.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an NTP server configured with a flow control policy is connected, an alarm indicating that the NTP server is abnormal may be reported.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storage device's querying of the time difference between it and the NTP server exceeds the traffic control limit. As a result, access to the NTP server may fail, and an alarm indicating that the NTP server is abnormal is reported.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frequency of accessing the NTP server.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users concurrently log in to the system, there is a low probability that internal files become abnormal.</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multiple domain users concurrently log in to the storage system, there is an extremely low probability that internal files fail to be written.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processing method in concurrent login scenarios.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After write protection is enabled for a single file system, the entire system switches to the write-through mode and the performance deteriorates.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number of failure pages exceeds the quota, triggering global write through.</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write through logic.</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the 3-way backup mode is used in NDMP scenarios, the backup fails.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the client request is interrupted abnormally, the status of the port provided for backup is not reset.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port status change process.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function of reporting an alarm when a SAS card is repaired must be added.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function of reporting an alarm when a SAS card is repaired must be added.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Add the function of reporting an alarm when a SAS card is repaired.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controller restarts after the client delivers the Setinfo command word to pipe files.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the client delivers the Setinfo command word to pipe files, the storage device does not intercept the command word. As a result, an exception occurs and the controller is restarted.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Change the process of processing the Setinfo command word for pipe files.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the SmartQoS policy of a single file system takes effect, the performance of other services in the storage system may be affected.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After flow control is performed for a single file system, if the number of connections is too large, the concurrency resources of a single controller are occupied. As a result, the performance of other file systems is affected.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performance flow control logic. After the patch upgrade, a new policy can be configured using a switch.</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There is a possibility that the stripe verification fails when RAID 6 (17 member disks) is configured.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RAID 6 (17 member disks) is configured, reading the parity bit times out in read-modify-write mode and the process is retried. There is a possibility that the stripe lock range is incorrect. As a result, a verification failure is falsely reported.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stripe consistency verification process.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bookmarkStart w:id="33" w:name="_EN-US_TOPIC_0000001876520202"/>
    <w:bookmarkEnd w:id="33"/>
    <w:p>
      <w:pPr>
        <w:pStyle w:val="Heading2"/>
      </w:pPr>
      <w:bookmarkStart w:id="34" w:name="_EN-US_TOPIC_0000001876520202-chtext"/>
      <w:bookmarkStart w:id="35" w:name="_Toc256000012"/>
      <w:r>
        <w:t>V500R007C71SPH132</w:t>
      </w:r>
      <w:bookmarkEnd w:id="35"/>
      <w:bookmarkEnd w:id="34"/>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Microsoft CVE-2022-38023 forcibly enables the Netlogon RPC Sealing capability, which causes a failure for the storage system in accessing the Windows AD domain server in NTLM authentication mode.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NTLM authentication does not support the Netlogon RPC Sealing capability. As a result, NTLM authentication of the AD domain fails.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Enable NTLM authentication to support the Netlogon RPC Sealing capability.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bookmarkStart w:id="36" w:name="_EN-US_TOPIC_0000001922599117"/>
    <w:bookmarkEnd w:id="36"/>
    <w:p>
      <w:pPr>
        <w:pStyle w:val="Heading2"/>
      </w:pPr>
      <w:bookmarkStart w:id="37" w:name="_EN-US_TOPIC_0000001922599117-chtext"/>
      <w:bookmarkStart w:id="38" w:name="_Toc256000013"/>
      <w:r>
        <w:t>V500R007C71SPH130</w:t>
      </w:r>
      <w:bookmarkEnd w:id="38"/>
      <w:bookmarkEnd w:id="37"/>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setting of SSD timeout threshold requires an additional command.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setting of SSD timeout threshold can reduce the impact on upper-layer services in case of exceptions.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setting of SSD timeout threshold.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a faulty disk in a disk domain is replaced, there is a low probability that the controller resets.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memory resources corresponding to the faulty disk are concurrently accessed, and resource exclusion is abnormal.</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memory resource access.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After asynchronous remote replication for SAN is configured and the secondary end is set to readable and writable, services fail to be started after synchronization is complete.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After asynchronous remote replication for SAN is configured and the secondary end is set to readable and writable, there is a low probability that the synchronization progress is incorrectly updated. As a result, an error is reported when services are started.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logic for processing progress updates.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VAAI services are executed in some special configurations, there is a possibility that the storage controller resets.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VAAI read service logic does not consider exceptions under special configurations. As a result, the controller resets.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VAAI read service processing logic in special configurations.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After 3DC is configured for NAS services by using remote replication, there is a possibility that synchronization fails.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After 3DC is configured for NAS services by using remote replication, snapshot resource leakage occurs during synchronization, causing the synchronization failure.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Modify the snapshot processing logic.</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In NAS HyperMetro scenarios, some VMware versions fail to check the client ID of the NFSv4.1 mount points. As a result, service access fails.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client ID composition of NFSv4.1 shares is inconsistent between the HyperMetro storage arrays. As a result, the VMware check fails.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method for numbering client IDs.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client fails to create a file.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packet delivered by the client software does not comply with the protocol. As a result, the Blob Offset verification fails and the file fails to be created.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tolerance of Blob Offset verification for packets that do not comply with the protocol.</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network management software (NMS) queries storage information using SNMP, there is a low probability that the query times out.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a large number of concurrent queries are performed on the NMS side, there is a possibility that SNMP routine test messages time out due to a long queuing time. As a result, the SNMP service self-healing occurs.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conditions for self-healing the SNMP service in a routine test task.</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audit log does not record the full share paths.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maximum length of file paths is limited to 128 bytes.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limitation on the file path length.</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OceanStor storage systems do not provide the firewall IP address trustlist function for management ports.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OceanStor storage systems do not provide the firewall IP address trustlist function for management ports.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The minisystem provides a firewall IP address whitelist for management ports. Users can add, delete, and query the IP address whitelist of the management ports.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time in the emails sent by the alarm notification function to the email client is incorrect.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Some email systems have different compatibility with the time format in alarm emails. As a result, the email time is incorrectly displayed.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Adjust the format of the time field in the email title.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There is a possibility that a power module on a storage controller or smart disk enclosure becomes faulty. If two power modules become faulty at the same time, the controller enclosure or smart disk enclosure goes offline.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Conductive foreign objects in the environment may enter the power modules, causing power module faults. In addition, the time-current curve of the power module fuse partially overlaps with that of the PDU circuit breaker, which may cause the PDU circuit breaker to trip. If both power modules are faulty due to conductive foreign objects, services are interrupted.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Enhance the withstand voltage of the power modules to lower the failure rate in environments with conductive foreign objects.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No alarm is reported if the CCDB backup is not generated.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storage system does not report alarms for CCDB backup failures.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Add alarms for CCDB backup failures.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 CCDB exception affects NAS service access.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storage system does not have a self-healing mechanism in the event of CCDB exceptions.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Add a self-healing mechanism to proactively rectify CCDB exceptions.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bookmarkStart w:id="39" w:name="_EN-US_TOPIC_0000001922559513"/>
    <w:bookmarkEnd w:id="39"/>
    <w:p>
      <w:pPr>
        <w:pStyle w:val="Heading2"/>
      </w:pPr>
      <w:bookmarkStart w:id="40" w:name="_EN-US_TOPIC_0000001922559513-chtext"/>
      <w:bookmarkStart w:id="41" w:name="_Toc256000014"/>
      <w:r>
        <w:t>V500R007C71SPH120</w:t>
      </w:r>
      <w:bookmarkEnd w:id="41"/>
      <w:bookmarkEnd w:id="40"/>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 disk responds slowly and is not removed in time, resulting in slow response to host I/Os.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disk does not meet the conditions for being identified as a slow disk. The algorithm for determining slow disks does not remove the disk.</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algorithm for determining slow disks and allow parameter customization for determining slow disks.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only one controller is running on the storage system, most hosts do not report alarms about the lack of link redundancy.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multipathing software sends host link redundancy information to the protocol. The parameters for the protocol to send alarms are incorrect. As a result, the alarm module considers that the alarms reported by different hosts are from the same host and does not send alarms repeatedly.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Delete the second alarm parameter transferred to the alarm interface when the interface is invoked. In this case, hostId is used as the location parameter to distinguish different alarm objects.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 large number of asynchronous remote replications are configured. After the secondary end is set to be readable and writable and synchronization is started, a message is displayed indicating that the system is busy.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A large number of asynchronous remote replications are configured. After the secondary end is set to be readable and writable and synchronization is started, there is a low probability that resource allocation fails and a message is displayed indicating that the system is busy.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logic for processing resource application failures.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After a disk domain with four disks is created, an alarm is falsely reported, which indicates that the number of member disks in the disk domain does not meet reliability requirements.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alarm reporting logic is incorrectly processed in this situation. As a result, an alarm is incorrectly generated.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alarm indicating that the number of member disks in the disk domain does not meet reliability requirements.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ACL permissions are configured for files and a large number of files are frequently deleted, the space reclamation speed of the file system decreases. As a result, the free space of the file system cannot be released in time.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speed of reclaiming ACL information is limited by flow control. As a result, space is not reclaimed in time.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Provide a command to increase the speed of reclaiming ACL information.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the power input is intermittently disconnected frequently, the system does not report alarms indicating there is no power input.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power input is intermittently disconnected and then recovered immediately before the alarm is reported by the system.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alarm policy for intermittent power input disconnection.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bookmarkStart w:id="42" w:name="_EN-US_TOPIC_0000001876680074"/>
    <w:bookmarkEnd w:id="42"/>
    <w:p>
      <w:pPr>
        <w:pStyle w:val="Heading2"/>
      </w:pPr>
      <w:bookmarkStart w:id="43" w:name="_EN-US_TOPIC_0000001876680074-chtext"/>
      <w:bookmarkStart w:id="44" w:name="_Toc256000015"/>
      <w:r>
        <w:t>V500R007C71SPH115</w:t>
      </w:r>
      <w:bookmarkEnd w:id="44"/>
      <w:bookmarkEnd w:id="4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There is a low probability that the disk fails to be repaired in the event of a soft error.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algorithm for repairing disk soft errors is defective. As a result, the disk fails to be repaired after a soft error occurs.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algorithm for repairing disk soft errors.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After ports are bonded across interface modules, HyperMetro services may be suspended for a long time on the interface modules where bond member ports reside.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ports are bonded across interface modules, if the interface modules where the bond member ports reside are removed and installed again, the MAC address of the bond port changes, and ARP packets are sent to the host.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Prohibit inactive LIFs from sending ARP packets.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High-end bays and controllers use different policies to determine whether to turn on the red indicator for masked major alarms.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high-end bays take masked alarms into consideration when determining whether to turn on the alarm indicator.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If major or higher-level alarms are masked and there are no other alarms in the system, the alarm indicator of the bay should be off.</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statistics on the available capacity of the file system are inaccurate.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method for calculating the metadata space of the file system is incorrect. As a result, the available capacity of the file system is incorrectly calculated.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Modify the method for calculating the metadata space of the file system.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There is a low probability that controller self-healing occurs when the NFSv4 service is running.</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the NFSv4 service is running, there is a low probability that invalid memory is accessed during asynchronous processing.</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memory processing in the NFSv4 service process.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a file system is cloned, there is a low probability that the system responds slowly when the client accesses NFS shares.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Cloning a file system triggers the update of the NFS permission cache. The domain controller query takes a long time, which affects the latency of the NFS share.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mechanism for updating the NFS permission cache.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XCOPY is used to access the CIFS shared directory, there is a low probability that the access fails.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XCOPY delivers extra command words to modify the share properties. As a result, the access is abnormal.</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Correctly process the command that modifies the properties of a shared directory.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bookmarkStart w:id="45" w:name="_EN-US_TOPIC_0000001922599121"/>
    <w:bookmarkEnd w:id="45"/>
    <w:p>
      <w:pPr>
        <w:pStyle w:val="Heading2"/>
      </w:pPr>
      <w:bookmarkStart w:id="46" w:name="_EN-US_TOPIC_0000001922599121-chtext"/>
      <w:bookmarkStart w:id="47" w:name="_Toc256000016"/>
      <w:r>
        <w:t>V500R007C71SPH112</w:t>
      </w:r>
      <w:bookmarkEnd w:id="47"/>
      <w:bookmarkEnd w:id="46"/>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host uses the NFSv4 protocol to lock files. After the controller where the logical IP address resides is restarted, there is a possibility that the client fails to re-apply for the lock from the new controller.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the client re-applies for the lock from the storage system, there is a time sequence error between the client re-application time and the storage system silent time. If the time sequence is out of order, the lock re-application may fail.</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Correctly process the lock re-application time sequence when the client re-applies for the lock from the storage system.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bookmarkStart w:id="48" w:name="_EN-US_TOPIC_0000001922559525"/>
    <w:bookmarkEnd w:id="48"/>
    <w:p>
      <w:pPr>
        <w:pStyle w:val="Heading2"/>
      </w:pPr>
      <w:bookmarkStart w:id="49" w:name="_EN-US_TOPIC_0000001922559525-chtext"/>
      <w:bookmarkStart w:id="50" w:name="_Toc256000017"/>
      <w:r>
        <w:t>V500R007C71SPH111</w:t>
      </w:r>
      <w:bookmarkEnd w:id="50"/>
      <w:bookmarkEnd w:id="49"/>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There is a possibility that false alarms are generated for controllers and expansion modules after the system runs for a long time.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After the system runs for a long time, the alarm check policy is incorrectly determined. As a result, a false alarm is generated.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alarm check policy after long-term running.</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If a power outage occurs during the process of an expected power-off on a controller, there is a low probability that the system fails to be started.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If a power outage occurs during the process of an expected power-off on a controller, there is a low probability that the system fails to be started due to a process conflict.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concurrent processing of controller power-off and power outage.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power module version cannot be displayed after the spare power module is powered on.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After spare part replacement, the firmware version synchronization and query processes are initiated concurrently. As a result, there is a possibility that the queried power module version is invalid.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policy for querying the power module version of a disk enclosure.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After the recovery mode of a heterogeneous iSCSI link is changed to manual and the primary controller connected to the iSCSI initiator is restarted, the heterogeneous link cannot be reconnected or modified.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the recovery mode of the iSCSI target is manual, the BDM interface is not invoked to restore data to the memory object during the power-on of storage arrays. As a result, the corresponding link information cannot be obtained during modification and reconnection.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During the power-on process, if the recovery mode of the iSCSI target is manual, the BDM interface should also be invoked to restore the corresponding link information to the memory object.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internal communication process of DeviceManager restarts unexpectedly. As a result, the external NMS is disconnected.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An exception occurs when the DeviceManager communication process works with the request delivered by the external NMS for querying real-time performance data. As a result, the memory usage of the DeviceManager communication process is too high, causing the restart of the process.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communication process between DeviceManager and the external NMS.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No data is returned when eSight is used to query the performance data of disks in the IP storage enclosures.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Performance data of disks in IP enclosures cannot be obtained.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Add the function of obtaining performance data of disks in IP enclosures.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Fields in the certificate export request can be customized.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Fields in the certificate export request can be customized.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Fields in the certificate export request can be customized.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7"/>
        <w:gridCol w:w="6571"/>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1"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9" w:type="pct"/>
            <w:tcBorders>
              <w:top w:val="single" w:sz="6" w:space="0" w:color="000000"/>
              <w:bottom w:val="single" w:sz="6" w:space="0" w:color="000000"/>
            </w:tcBorders>
          </w:tcPr>
          <w:p>
            <w:pPr>
              <w:pStyle w:val="TableText"/>
            </w:pPr>
            <w:r>
              <w:t>Add the function of displaying the total capacity of disks provided by different vendors on DeviceManager.</w:t>
            </w:r>
          </w:p>
        </w:tc>
      </w:tr>
      <w:tr>
        <w:tblPrEx>
          <w:tblW w:w="7938" w:type="dxa"/>
          <w:tblInd w:w="1814" w:type="dxa"/>
          <w:tblLayout w:type="fixed"/>
          <w:tblLook w:val="01E0"/>
        </w:tblPrEx>
        <w:trPr>
          <w:cantSplit w:val="0"/>
        </w:trPr>
        <w:tc>
          <w:tcPr>
            <w:tcW w:w="861"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9" w:type="pct"/>
            <w:tcBorders>
              <w:top w:val="single" w:sz="6" w:space="0" w:color="000000"/>
              <w:bottom w:val="single" w:sz="6" w:space="0" w:color="000000"/>
            </w:tcBorders>
          </w:tcPr>
          <w:p>
            <w:pPr>
              <w:pStyle w:val="TableText"/>
            </w:pPr>
            <w:r>
              <w:t>Info</w:t>
            </w:r>
          </w:p>
        </w:tc>
      </w:tr>
      <w:tr>
        <w:tblPrEx>
          <w:tblW w:w="7938" w:type="dxa"/>
          <w:tblInd w:w="1814" w:type="dxa"/>
          <w:tblLayout w:type="fixed"/>
          <w:tblLook w:val="01E0"/>
        </w:tblPrEx>
        <w:trPr>
          <w:cantSplit w:val="0"/>
        </w:trPr>
        <w:tc>
          <w:tcPr>
            <w:tcW w:w="861"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9" w:type="pct"/>
            <w:tcBorders>
              <w:top w:val="single" w:sz="6" w:space="0" w:color="000000"/>
              <w:bottom w:val="single" w:sz="6" w:space="0" w:color="000000"/>
            </w:tcBorders>
          </w:tcPr>
          <w:p>
            <w:pPr>
              <w:pStyle w:val="TableText"/>
            </w:pPr>
            <w:r>
              <w:t>Add the function of displaying the total capacity of disks provided by different vendors on DeviceManager.</w:t>
            </w:r>
          </w:p>
        </w:tc>
      </w:tr>
      <w:tr>
        <w:tblPrEx>
          <w:tblW w:w="7938" w:type="dxa"/>
          <w:tblInd w:w="1814" w:type="dxa"/>
          <w:tblLayout w:type="fixed"/>
          <w:tblLook w:val="01E0"/>
        </w:tblPrEx>
        <w:trPr>
          <w:cantSplit w:val="0"/>
        </w:trPr>
        <w:tc>
          <w:tcPr>
            <w:tcW w:w="861"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9" w:type="pct"/>
            <w:tcBorders>
              <w:top w:val="single" w:sz="6" w:space="0" w:color="000000"/>
              <w:bottom w:val="single" w:sz="6" w:space="0" w:color="000000"/>
            </w:tcBorders>
          </w:tcPr>
          <w:p>
            <w:pPr>
              <w:pStyle w:val="TableText"/>
            </w:pPr>
            <w:r>
              <w:t>Add the function of displaying the total capacity of disks provided by different vendors on DeviceManager.</w:t>
            </w:r>
          </w:p>
        </w:tc>
      </w:tr>
      <w:tr>
        <w:tblPrEx>
          <w:tblW w:w="7938" w:type="dxa"/>
          <w:tblInd w:w="1814" w:type="dxa"/>
          <w:tblLayout w:type="fixed"/>
          <w:tblLook w:val="01E0"/>
        </w:tblPrEx>
        <w:trPr>
          <w:cantSplit w:val="0"/>
        </w:trPr>
        <w:tc>
          <w:tcPr>
            <w:tcW w:w="861"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9"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severity is incorrect for the disk fault alarm reported after the disk self-check fails.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Info</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If a disk is faulty, self-check and recovery are performed. If the self-check and recovery fail, the disk cannot be accessed. The alarm severity reported in the exception handling process is incorrect.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disk alarm logic during disk diagnosis.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splitting speed of a file system clone is inconsistent with that described on DeviceManager.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the service load is heavy, the splitting speed of the file system clone is controlled. As a result, it is different from that displayed on the GUI.</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Adjust the duration of file system clone splitting to improve the splitting speed. Adjust the description on DeviceManager to match the splitting speed.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number of CIFS and NFS connections should be increased.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number of CIFS and NFS connections should be increased to 32,000.</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For OceanStor 5500 V5, increase the number of connections to 32,000 per controller.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In the concurrent directory listing scenario, there is a low probability that resource application fails. Memory resources are not cleared in the exception handling process.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In the concurrent directory listing scenario, there is a low probability that resource application fails. Memory resources are not cleared in the exception handling process.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Clear the resources in the exception handling process.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bookmarkStart w:id="51" w:name="_EN-US_TOPIC_0000001922599125"/>
    <w:bookmarkEnd w:id="51"/>
    <w:p>
      <w:pPr>
        <w:pStyle w:val="Heading2"/>
      </w:pPr>
      <w:bookmarkStart w:id="52" w:name="_EN-US_TOPIC_0000001922599125-chtext"/>
      <w:bookmarkStart w:id="53" w:name="_Toc256000018"/>
      <w:r>
        <w:t>V500R007C71SPH107</w:t>
      </w:r>
      <w:bookmarkEnd w:id="53"/>
      <w:bookmarkEnd w:id="52"/>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a large number of files are deleted from a host, there is a low probability that the HyperMetro pair is disconnected.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A large number of background deletion I/Os cause high latency in disk flushing at the remote end. As a result, writing to the remote end times out, and then the HyperMetro pair is disconnected.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logic for processing background I/Os in the HyperMetro scenario.</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failure of driver resource application causes a low probability of intermittent link disconnection.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failure of driver resource application causes a low probability of intermittent link disconnection.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process for handling exceptions in driver resource application.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There is a low probability that a hardware fault in a SAS chip causes high I/O latency.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hardware exception handling implemented by the driver is defective.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hardware exception handling implemented by the driver.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the replication distance is long, the maximum IP network bandwidth is not reached.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the replication distance is long, the link latency is high. The transmission efficiency decreases due to improper buffer settings.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buffer settings for the scenario of long replication distance.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host sends a large number of abnormal TMF commands. As a result, too many driver resources are occupied.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host sends a large number of abnormal TMF commands. As a result, too many driver resources are occupied.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driver resource usage for abnormal TMF commands.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SNMP process of the storage system is reset.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open-source software SNMP++ used by SNMP has a memory leak problem. As a result, the SNMP agent process consumes more and more memory. When the memory usage reaches the upper limit (100 MB) set for the storage system, the storage system triggers the SNMP process reset to rectify the fault.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Update the open-source software SNMP++ to resolve the memory leak problem.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the number of files opened using SMB 2.0 reaches the upper limit, more files fail to be opened.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the number of files opened using SMB 2.0 reaches the upper limit, new services fail to apply for memory.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Raise the upper limit of the number of files that can be opened using SMB 2.0.</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There is a low probability that CIFS access fails in the event of an exception when the storage system is added to an AD domain for the first time.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the storage system is added to the AD domain for the first time, the link is intermittently disconnected when the storage system communicates with the domain controller. An incorrect SID is transferred, causing CIFS access failure.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exception handling process.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bookmarkStart w:id="54" w:name="_EN-US_TOPIC_0000001922559509"/>
    <w:bookmarkEnd w:id="54"/>
    <w:p>
      <w:pPr>
        <w:pStyle w:val="Heading2"/>
      </w:pPr>
      <w:bookmarkStart w:id="55" w:name="_EN-US_TOPIC_0000001922559509-chtext"/>
      <w:bookmarkStart w:id="56" w:name="_Toc256000019"/>
      <w:r>
        <w:t>V500R007C71SPH105</w:t>
      </w:r>
      <w:bookmarkEnd w:id="56"/>
      <w:bookmarkEnd w:id="55"/>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If the communication between a controller and an expansion module becomes abnormal multiple times, there is a low probability that the expansion module resets.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If the communication is repeatedly abnormal for a long time, there is a low probability that a mechanism is triggered to reset the expansion module for repair purposes.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mechanism for handling abnormal communication.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Under heavy workloads, there is a low probability that distributed locking causes a controller to reset, resulting in service interruption.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Under heavy workloads, if a failed node is recovered, other nodes will pack and return the lock resources previously owned by that node. However, if a large amount of lock resources need to be packed, there is a low probability of space calculation errors, causing the subsequent process to access invalid addresses.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policy for distributed locking to properly handle node failure and recovery under heavy workloads.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 disk in a high-density enclosure triggers a high-temperature alarm.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Under long-term heavy workloads, the fan speed is not adjusted in a timely manner. As a result, the high temperature alarm is triggered.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fan speed adjustment policy for high-density enclosures.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In the 3DC scenario, synchronization is started after sites are disconnected. Then, there is a low probability that a controller resets.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After sites A and B are disconnected and take over services, data is synchronized between sites B and C first, and then between sites A, B, and C. In this case, there is a low probability that site C resets due to a time sequence error during the synchronization.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time sequence processing algorithm.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Imbalanced host I/O workloads cause CPU partitions to be overloaded.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In a specific I/O model, the load balancing algorithm fails to fully balance loads between CPU partitions.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load balancing algorithm.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Querying information about disk groups in a disk domain fails.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a user attempts to query information about disk groups in a large-capacity disk domain, there is a low probability that the message communication is abnormal and the query status is not updated. As a result, the subsequent query process fails.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message communication mechanism.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When a large number of Fibre Channel links are configured, some links are displayed abnormally.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When a large number of Fibre Channel links are configured, some links are displayed abnormally.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Solve the link display problem.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In a HyperMetro pair, the security mode of the secondary file system is different from that of the primary file system.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In the HyperMetro incremental synchronization scenario, there is a low probability that the security mode of the secondary file system is different from that of the primary file system.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Synchronize the correct security mode information to the secondary file system.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If a file fails to be deleted, there is a low probability that a controller resets.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Under heavy workloads, the process for handling file deletion timeout is defective. As a result, resources are not released in a timely manner, triggering a control reset.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process for handling file deletion timeout.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password of the super administrator can contain a minimum of eight characters.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password of the super administrator can contain a minimum of eight characters.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The password of the super administrator can contain a minimum of eight characters.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BMC software's flash P/E mechanism is optimized.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daily amount of data written by the BMC software to flash is relatively large, affecting the flash lifespan.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BMC software's flash P/E mechanism to prolong the flash lifespan.</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 indicator on a management module turns off unexpectedly due to an incorrect policy.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indicator on a management module turns off unexpectedly due to an incorrect policy.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policy for turning on and off the indicator on a management module.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A disk is incorrectly repaired due to a hardware fault.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A disk is incorrectly repaired due to a hardware fault.</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internal disk repair mechanism.</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There is an extremely low probability that I/Os fail when the replication link network is congested.</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The link reset policy oriented to network congestion scenarios is abnormal, causing an extremely low probability of I/O failure.</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Optimize the link reset policy oriented to network congestion scenarios.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bookmarkStart w:id="57" w:name="_EN-US_TOPIC_0000001876520194"/>
    <w:bookmarkEnd w:id="57"/>
    <w:p>
      <w:pPr>
        <w:pStyle w:val="Heading2"/>
      </w:pPr>
      <w:bookmarkStart w:id="58" w:name="_EN-US_TOPIC_0000001876520194-chtext"/>
      <w:bookmarkStart w:id="59" w:name="_Toc256000020"/>
      <w:r>
        <w:t>V500R007C71SPH102</w:t>
      </w:r>
      <w:bookmarkEnd w:id="59"/>
      <w:bookmarkEnd w:id="58"/>
    </w:p>
    <w:p>
      <w:r>
        <w:t>This section describes the issues that are resolved in V500R007C71SPH102.</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369"/>
        <w:gridCol w:w="65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4138" w:type="pct"/>
            <w:tcBorders>
              <w:top w:val="single" w:sz="6" w:space="0" w:color="000000"/>
              <w:bottom w:val="single" w:sz="6" w:space="0" w:color="000000"/>
            </w:tcBorders>
          </w:tcPr>
          <w:p>
            <w:pPr>
              <w:pStyle w:val="TableText"/>
            </w:pPr>
            <w:r>
              <w:t>Robocopy failed to migrate ADS with the directory.</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38"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38" w:type="pct"/>
            <w:tcBorders>
              <w:top w:val="single" w:sz="6" w:space="0" w:color="000000"/>
              <w:bottom w:val="single" w:sz="6" w:space="0" w:color="000000"/>
            </w:tcBorders>
          </w:tcPr>
          <w:p>
            <w:pPr>
              <w:pStyle w:val="TableText"/>
            </w:pPr>
            <w:r>
              <w:t>During ADS flow migration, abnormal branches are incorrectly verified. As a result, the migration fails.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38" w:type="pct"/>
            <w:tcBorders>
              <w:top w:val="single" w:sz="6" w:space="0" w:color="000000"/>
              <w:bottom w:val="single" w:sz="6" w:space="0" w:color="000000"/>
            </w:tcBorders>
          </w:tcPr>
          <w:p>
            <w:pPr>
              <w:pStyle w:val="TableText"/>
            </w:pPr>
            <w:r>
              <w:t>Remove the incorrectly check for directory ADS flows.</w:t>
            </w:r>
          </w:p>
        </w:tc>
      </w:tr>
      <w:tr>
        <w:tblPrEx>
          <w:tblW w:w="7938" w:type="dxa"/>
          <w:tblInd w:w="1814" w:type="dxa"/>
          <w:tblLayout w:type="fixed"/>
          <w:tblLook w:val="01E0"/>
        </w:tblPrEx>
        <w:trPr>
          <w:cantSplit w:val="0"/>
        </w:trPr>
        <w:tc>
          <w:tcPr>
            <w:tcW w:w="862"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38" w:type="pct"/>
            <w:tcBorders>
              <w:top w:val="single" w:sz="6" w:space="0" w:color="000000"/>
              <w:bottom w:val="single" w:sz="6" w:space="0" w:color="000000"/>
            </w:tcBorders>
          </w:tcPr>
          <w:p>
            <w:pPr>
              <w:pStyle w:val="TableText"/>
            </w:pPr>
            <w:r>
              <w:t>None</w:t>
            </w:r>
          </w:p>
        </w:tc>
      </w:tr>
    </w:tbl>
    <w:p>
      <w:pPr>
        <w:sectPr>
          <w:headerReference w:type="even" r:id="rId38"/>
          <w:headerReference w:type="default" r:id="rId39"/>
          <w:footerReference w:type="even" r:id="rId40"/>
          <w:footerReference w:type="default" r:id="rId41"/>
          <w:type w:val="nextPage"/>
          <w:pgSz w:w="11907" w:h="16840" w:code="9"/>
          <w:pgMar w:top="1701" w:right="1134" w:bottom="1701" w:left="1134" w:header="567" w:footer="567" w:gutter="0"/>
          <w:pgNumType w:fmt="decimal"/>
          <w:cols w:space="425"/>
          <w:docGrid w:linePitch="312"/>
        </w:sectPr>
      </w:pPr>
    </w:p>
    <w:p>
      <w:pPr>
        <w:pStyle w:val="Appendixheading1"/>
      </w:pPr>
      <w:bookmarkStart w:id="60" w:name="_EN-US_TOPIC_0000001922599109"/>
      <w:bookmarkEnd w:id="60"/>
      <w:bookmarkStart w:id="61" w:name="_EN-US_TOPIC_0000001922599109-chtext"/>
      <w:bookmarkStart w:id="62" w:name="_Toc256000021"/>
      <w:r>
        <w:t>Third-Party Software Vulnerabilities Fixes</w:t>
      </w:r>
      <w:bookmarkEnd w:id="62"/>
      <w:bookmarkEnd w:id="61"/>
    </w:p>
    <w:p>
      <w:r>
        <w:t xml:space="preserve">Vulnerabilities information is available using CVE IDs on the National Vulnerability Database (NVD) website: </w:t>
      </w:r>
      <w:hyperlink r:id="rId42" w:tooltip=" " w:history="1">
        <w:r>
          <w:rPr>
            <w:rStyle w:val="Hyperlink"/>
          </w:rPr>
          <w:t>http://web.nvd.nist.gov/view/vuln/search</w:t>
        </w:r>
      </w:hyperlink>
      <w:r>
        <w:t>.</w:t>
      </w:r>
    </w:p>
    <w:tbl>
      <w:tblPr>
        <w:tblStyle w:val="Table"/>
        <w:tblW w:w="7938" w:type="dxa"/>
        <w:tblInd w:w="1814" w:type="dxa"/>
        <w:tblLayout w:type="fixed"/>
        <w:tblLook w:val="01E0"/>
      </w:tblPr>
      <w:tblGrid>
        <w:gridCol w:w="1295"/>
        <w:gridCol w:w="972"/>
        <w:gridCol w:w="1216"/>
        <w:gridCol w:w="1864"/>
        <w:gridCol w:w="2591"/>
      </w:tblGrid>
      <w:tr>
        <w:tblPrEx>
          <w:tblW w:w="7938" w:type="dxa"/>
          <w:tblInd w:w="1814" w:type="dxa"/>
          <w:tblLayout w:type="fixed"/>
          <w:tblLook w:val="01E0"/>
        </w:tblPrEx>
        <w:trPr>
          <w:cantSplit w:val="0"/>
          <w:tblHeader/>
        </w:trPr>
        <w:tc>
          <w:tcPr>
            <w:tcW w:w="816" w:type="pct"/>
            <w:tcBorders>
              <w:top w:val="single" w:sz="6" w:space="0" w:color="000000"/>
              <w:bottom w:val="single" w:sz="6" w:space="0" w:color="000000"/>
              <w:right w:val="single" w:sz="6" w:space="0" w:color="000000"/>
            </w:tcBorders>
            <w:shd w:val="clear" w:color="auto" w:fill="D9D9D9"/>
          </w:tcPr>
          <w:p>
            <w:pPr>
              <w:pStyle w:val="TableHeading"/>
            </w:pPr>
            <w:r>
              <w:t>Software Name</w:t>
            </w:r>
          </w:p>
        </w:tc>
        <w:tc>
          <w:tcPr>
            <w:tcW w:w="612" w:type="pct"/>
            <w:tcBorders>
              <w:top w:val="single" w:sz="6" w:space="0" w:color="000000"/>
              <w:bottom w:val="single" w:sz="6" w:space="0" w:color="000000"/>
              <w:right w:val="single" w:sz="6" w:space="0" w:color="000000"/>
            </w:tcBorders>
            <w:shd w:val="clear" w:color="auto" w:fill="D9D9D9"/>
          </w:tcPr>
          <w:p>
            <w:pPr>
              <w:pStyle w:val="TableHeading"/>
            </w:pPr>
            <w:r>
              <w:t>Version</w:t>
            </w:r>
          </w:p>
        </w:tc>
        <w:tc>
          <w:tcPr>
            <w:tcW w:w="766" w:type="pct"/>
            <w:tcBorders>
              <w:top w:val="single" w:sz="6" w:space="0" w:color="000000"/>
              <w:bottom w:val="single" w:sz="6" w:space="0" w:color="000000"/>
              <w:right w:val="single" w:sz="6" w:space="0" w:color="000000"/>
            </w:tcBorders>
            <w:shd w:val="clear" w:color="auto" w:fill="D9D9D9"/>
          </w:tcPr>
          <w:p>
            <w:pPr>
              <w:pStyle w:val="TableHeading"/>
            </w:pPr>
            <w:r>
              <w:t>CVE ID</w:t>
            </w:r>
          </w:p>
        </w:tc>
        <w:tc>
          <w:tcPr>
            <w:tcW w:w="1174" w:type="pct"/>
            <w:tcBorders>
              <w:top w:val="single" w:sz="6" w:space="0" w:color="000000"/>
              <w:bottom w:val="single" w:sz="6" w:space="0" w:color="000000"/>
              <w:right w:val="single" w:sz="6" w:space="0" w:color="000000"/>
            </w:tcBorders>
            <w:shd w:val="clear" w:color="auto" w:fill="D9D9D9"/>
          </w:tcPr>
          <w:p>
            <w:pPr>
              <w:pStyle w:val="TableHeading"/>
            </w:pPr>
            <w:r>
              <w:t>Vulnerability Description</w:t>
            </w:r>
          </w:p>
        </w:tc>
        <w:tc>
          <w:tcPr>
            <w:tcW w:w="1632" w:type="pct"/>
            <w:tcBorders>
              <w:top w:val="single" w:sz="6" w:space="0" w:color="000000"/>
              <w:bottom w:val="single" w:sz="6" w:space="0" w:color="000000"/>
            </w:tcBorders>
            <w:shd w:val="clear" w:color="auto" w:fill="D9D9D9"/>
          </w:tcPr>
          <w:p>
            <w:pPr>
              <w:pStyle w:val="TableHeading"/>
            </w:pPr>
            <w:r>
              <w:t>Solution</w:t>
            </w:r>
          </w:p>
        </w:tc>
      </w:tr>
      <w:tr>
        <w:tblPrEx>
          <w:tblW w:w="7938" w:type="dxa"/>
          <w:tblInd w:w="1814" w:type="dxa"/>
          <w:tblLayout w:type="fixed"/>
          <w:tblLook w:val="01E0"/>
        </w:tblPrEx>
        <w:trPr>
          <w:cantSplit w:val="0"/>
        </w:trPr>
        <w:tc>
          <w:tcPr>
            <w:tcW w:w="816" w:type="pct"/>
            <w:tcBorders>
              <w:top w:val="single" w:sz="6" w:space="0" w:color="000000"/>
              <w:bottom w:val="single" w:sz="6" w:space="0" w:color="000000"/>
              <w:right w:val="single" w:sz="6" w:space="0" w:color="000000"/>
            </w:tcBorders>
          </w:tcPr>
          <w:p>
            <w:pPr>
              <w:pStyle w:val="TableText"/>
            </w:pPr>
            <w:r>
              <w:t>-</w:t>
            </w:r>
          </w:p>
        </w:tc>
        <w:tc>
          <w:tcPr>
            <w:tcW w:w="612" w:type="pct"/>
            <w:tcBorders>
              <w:top w:val="single" w:sz="6" w:space="0" w:color="000000"/>
              <w:bottom w:val="single" w:sz="6" w:space="0" w:color="000000"/>
              <w:right w:val="single" w:sz="6" w:space="0" w:color="000000"/>
            </w:tcBorders>
          </w:tcPr>
          <w:p>
            <w:pPr>
              <w:pStyle w:val="TableText"/>
            </w:pPr>
            <w:r>
              <w:t>-</w:t>
            </w:r>
          </w:p>
        </w:tc>
        <w:tc>
          <w:tcPr>
            <w:tcW w:w="766" w:type="pct"/>
            <w:tcBorders>
              <w:top w:val="single" w:sz="6" w:space="0" w:color="000000"/>
              <w:bottom w:val="single" w:sz="6" w:space="0" w:color="000000"/>
              <w:right w:val="single" w:sz="6" w:space="0" w:color="000000"/>
            </w:tcBorders>
          </w:tcPr>
          <w:p>
            <w:pPr>
              <w:pStyle w:val="TableText"/>
            </w:pPr>
            <w:r>
              <w:t>-</w:t>
            </w:r>
          </w:p>
        </w:tc>
        <w:tc>
          <w:tcPr>
            <w:tcW w:w="1174" w:type="pct"/>
            <w:tcBorders>
              <w:top w:val="single" w:sz="6" w:space="0" w:color="000000"/>
              <w:bottom w:val="single" w:sz="6" w:space="0" w:color="000000"/>
              <w:right w:val="single" w:sz="6" w:space="0" w:color="000000"/>
            </w:tcBorders>
          </w:tcPr>
          <w:p>
            <w:pPr>
              <w:pStyle w:val="TableText"/>
            </w:pPr>
            <w:r>
              <w:t>-</w:t>
            </w:r>
          </w:p>
        </w:tc>
        <w:tc>
          <w:tcPr>
            <w:tcW w:w="1632" w:type="pct"/>
            <w:tcBorders>
              <w:top w:val="single" w:sz="6" w:space="0" w:color="000000"/>
              <w:bottom w:val="single" w:sz="6" w:space="0" w:color="000000"/>
            </w:tcBorders>
          </w:tcPr>
          <w:p>
            <w:pPr>
              <w:pStyle w:val="TableText"/>
            </w:pPr>
            <w:r>
              <w:t>-</w:t>
            </w:r>
          </w:p>
        </w:tc>
      </w:tr>
    </w:tbl>
    <w:p>
      <w:pPr>
        <w:sectPr>
          <w:headerReference w:type="even" r:id="rId43"/>
          <w:headerReference w:type="default" r:id="rId44"/>
          <w:type w:val="nextPage"/>
          <w:pgSz w:w="11907" w:h="16840" w:code="9"/>
          <w:pgMar w:top="1701" w:right="1134" w:bottom="1701" w:left="1134" w:header="567" w:footer="567" w:gutter="0"/>
          <w:pgNumType w:fmt="decimal"/>
          <w:cols w:space="425"/>
          <w:docGrid w:linePitch="312"/>
        </w:sectPr>
      </w:pPr>
    </w:p>
    <w:p>
      <w:pPr>
        <w:pStyle w:val="Appendixheading1"/>
      </w:pPr>
      <w:bookmarkStart w:id="63" w:name="_EN-US_TOPIC_0000001876680078"/>
      <w:bookmarkEnd w:id="63"/>
      <w:bookmarkStart w:id="64" w:name="_EN-US_TOPIC_0000001876680078-chtext"/>
      <w:bookmarkStart w:id="65" w:name="_Toc256000022"/>
      <w:r>
        <w:t>Acronyms and Abbreviations</w:t>
      </w:r>
      <w:bookmarkEnd w:id="65"/>
      <w:bookmarkEnd w:id="64"/>
    </w:p>
    <w:p>
      <w:r>
        <w:t>None.</w:t>
      </w:r>
    </w:p>
    <w:sectPr>
      <w:headerReference w:type="even" r:id="rId45"/>
      <w:headerReference w:type="default" r:id="rId46"/>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2024-05-15</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2024-05-15</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2024-05-15</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2024-05-15</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iii</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2024-05-15</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2024-05-15</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iv</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2024-05-15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2024-05-15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2024-05-15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2024-05-15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31</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29"/>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29" w:type="dxa"/>
          <w:vAlign w:val="bottom"/>
        </w:tcPr>
        <w:p>
          <w:pPr>
            <w:pStyle w:val="HeadingLeft"/>
            <w:rPr>
              <w:rFonts w:hint="eastAsia"/>
            </w:rPr>
          </w:pPr>
          <w:r>
            <w:fldChar w:fldCharType="begin"/>
          </w:r>
          <w:r>
            <w:instrText xml:space="preserve"> DOCPROPERTY  "Product&amp;Project Name"</w:instrText>
          </w:r>
          <w:r>
            <w:fldChar w:fldCharType="separate"/>
          </w:r>
          <w:r>
            <w:t>OceanStor V5 Series Storage Systems</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"Heading1 no Number" </w:instrText>
          </w:r>
          <w:r>
            <w:fldChar w:fldCharType="separate"/>
          </w:r>
          <w:r>
            <w:rPr>
              <w:noProof/>
            </w:rPr>
            <w:t>About This Document</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29"/>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29" w:type="dxa"/>
          <w:vAlign w:val="bottom"/>
        </w:tcPr>
        <w:p>
          <w:pPr>
            <w:pStyle w:val="HeadingLeft"/>
            <w:rPr>
              <w:rFonts w:hint="eastAsia"/>
            </w:rPr>
          </w:pPr>
          <w:r>
            <w:fldChar w:fldCharType="begin"/>
          </w:r>
          <w:r>
            <w:instrText xml:space="preserve"> DOCPROPERTY  "Product&amp;Project Name"</w:instrText>
          </w:r>
          <w:r>
            <w:fldChar w:fldCharType="separate"/>
          </w:r>
          <w:r>
            <w:t>OceanStor V5 Series Storage Systems</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"Heading1 no Number" </w:instrText>
          </w:r>
          <w:r>
            <w:fldChar w:fldCharType="separate"/>
          </w:r>
          <w:r>
            <w:t>Change History</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V5 Series Storage Systems</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V5 Series Storage Systems</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V5 Series Storage Systems</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V5 Series Storage Systems</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Patch Overview</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V5 Series Storage Systems</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V5 Series Storage Systems</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Resolved Issues</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V5 Series Storage Systems</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rPr>
              <w:noProof/>
            </w:rP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rPr>
              <w:noProof/>
            </w:rPr>
            <w:t>11111</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V5 Series Storage Systems</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t>Third-Party Software Vulnerabilities Fixes</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V5 Series Storage Systems</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rPr>
              <w:noProof/>
            </w:rP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rPr>
              <w:noProof/>
            </w:rPr>
            <w:t>11111</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V5 Series Storage Systems</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t xml:space="preserve">B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t>Acronyms and Abbreviations</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e.huawei.com" TargetMode="External" /><Relationship Id="rId15" Type="http://schemas.openxmlformats.org/officeDocument/2006/relationships/hyperlink" Target="https://support.huawei.com/ecolumnsweb/en/warranty-policy" TargetMode="External" /><Relationship Id="rId16" Type="http://schemas.openxmlformats.org/officeDocument/2006/relationships/hyperlink" Target="https://www.huawei.com/en/psirt/vul-response-process" TargetMode="External" /><Relationship Id="rId17" Type="http://schemas.openxmlformats.org/officeDocument/2006/relationships/hyperlink" Target="https://securitybulletin.huawei.com/enterprise/en/security-advisory" TargetMode="External" /><Relationship Id="rId18" Type="http://schemas.openxmlformats.org/officeDocument/2006/relationships/hyperlink" Target="https://support.huawei.com/enterprise/en/bulletins-service/ENEWS2000015789" TargetMode="External" /><Relationship Id="rId19" Type="http://schemas.openxmlformats.org/officeDocument/2006/relationships/hyperlink" Target="https://e.huawei.com/en/about/eula" TargetMode="External" /><Relationship Id="rId2" Type="http://schemas.openxmlformats.org/officeDocument/2006/relationships/endnotes" Target="endnotes.xml" /><Relationship Id="rId20" Type="http://schemas.openxmlformats.org/officeDocument/2006/relationships/hyperlink" Target="https://support.huawei.com/enterprise/en/bulletins-website/ENEWS2000017761" TargetMode="External" /><Relationship Id="rId21" Type="http://schemas.openxmlformats.org/officeDocument/2006/relationships/header" Target="header4.xml" /><Relationship Id="rId22" Type="http://schemas.openxmlformats.org/officeDocument/2006/relationships/header" Target="header5.xml" /><Relationship Id="rId23" Type="http://schemas.openxmlformats.org/officeDocument/2006/relationships/footer" Target="footer4.xml" /><Relationship Id="rId24" Type="http://schemas.openxmlformats.org/officeDocument/2006/relationships/footer" Target="footer5.xml" /><Relationship Id="rId25" Type="http://schemas.openxmlformats.org/officeDocument/2006/relationships/header" Target="header6.xml" /><Relationship Id="rId26" Type="http://schemas.openxmlformats.org/officeDocument/2006/relationships/header" Target="header7.xml" /><Relationship Id="rId27" Type="http://schemas.openxmlformats.org/officeDocument/2006/relationships/footer" Target="footer6.xml" /><Relationship Id="rId28" Type="http://schemas.openxmlformats.org/officeDocument/2006/relationships/footer" Target="footer7.xml" /><Relationship Id="rId29" Type="http://schemas.openxmlformats.org/officeDocument/2006/relationships/header" Target="header8.xm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footer" Target="footer8.xml" /><Relationship Id="rId32" Type="http://schemas.openxmlformats.org/officeDocument/2006/relationships/footer" Target="footer9.xml" /><Relationship Id="rId33" Type="http://schemas.openxmlformats.org/officeDocument/2006/relationships/header" Target="header10.xml"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header" Target="header13.xml" /><Relationship Id="rId39" Type="http://schemas.openxmlformats.org/officeDocument/2006/relationships/header" Target="header14.xml" /><Relationship Id="rId4" Type="http://schemas.openxmlformats.org/officeDocument/2006/relationships/webSettings" Target="webSettings.xml" /><Relationship Id="rId40" Type="http://schemas.openxmlformats.org/officeDocument/2006/relationships/footer" Target="footer12.xml" /><Relationship Id="rId41" Type="http://schemas.openxmlformats.org/officeDocument/2006/relationships/footer" Target="footer13.xml" /><Relationship Id="rId42" Type="http://schemas.openxmlformats.org/officeDocument/2006/relationships/hyperlink" Target="http://web.nvd.nist.gov/view/vuln/search" TargetMode="External" /><Relationship Id="rId43" Type="http://schemas.openxmlformats.org/officeDocument/2006/relationships/header" Target="header15.xml" /><Relationship Id="rId44" Type="http://schemas.openxmlformats.org/officeDocument/2006/relationships/header" Target="header16.xml" /><Relationship Id="rId45" Type="http://schemas.openxmlformats.org/officeDocument/2006/relationships/header" Target="header17.xml" /><Relationship Id="rId46" Type="http://schemas.openxmlformats.org/officeDocument/2006/relationships/header" Target="header18.xml" /><Relationship Id="rId47" Type="http://schemas.openxmlformats.org/officeDocument/2006/relationships/theme" Target="theme/theme1.xml" /><Relationship Id="rId48" Type="http://schemas.openxmlformats.org/officeDocument/2006/relationships/numbering" Target="numbering.xml" /><Relationship Id="rId49" Type="http://schemas.openxmlformats.org/officeDocument/2006/relationships/styles" Target="styles.xml" /><Relationship Id="rId5" Type="http://schemas.openxmlformats.org/officeDocument/2006/relationships/fontTable" Target="fontTable.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36</Pages>
  <Words>6351</Words>
  <Characters>36064</Characters>
  <Application>Microsoft Office Word</Application>
  <DocSecurity>0</DocSecurity>
  <Lines>0</Lines>
  <Paragraphs>1074</Paragraphs>
  <ScaleCrop>false</ScaleCrop>
  <Company>Huawei Technologies Co.,Ltd.</Company>
  <LinksUpToDate>false</LinksUpToDate>
  <CharactersWithSpaces>41334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 Notes</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Patch Notes</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OceanStor V5 Series Storage Systems</vt:lpwstr>
  </property>
  <property fmtid="{D5CDD505-2E9C-101B-9397-08002B2CF9AE}" pid="6" name="ProductVersion">
    <vt:lpwstr>V500R007C71SPH152</vt:lpwstr>
  </property>
  <property fmtid="{D5CDD505-2E9C-101B-9397-08002B2CF9AE}" pid="7" name="ProprietaryDeclaration">
    <vt:lpwstr>Copyright © Huawei Technologies Co., Ltd.</vt:lpwstr>
  </property>
  <property fmtid="{D5CDD505-2E9C-101B-9397-08002B2CF9AE}" pid="8" name="ReleaseDate">
    <vt:lpwstr>2024-05-15</vt:lpwstr>
  </property>
  <property fmtid="{D5CDD505-2E9C-101B-9397-08002B2CF9AE}" pid="9" name="SecretLevel">
    <vt:lpwstr>PUBLIC OPEN</vt:lpwstr>
  </property>
  <property fmtid="{D5CDD505-2E9C-101B-9397-08002B2CF9AE}" pid="10" name="Trademark&amp;ProductType">
    <vt:lpwstr>OceanStor V5 Series Storage Systems</vt:lpwstr>
  </property>
</Properties>
</file>