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tbl>
      <w:tblPr>
        <w:tblStyle w:val="TableGrid"/>
        <w:tblW w:w="1190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88"/>
        <w:gridCol w:w="1244"/>
        <w:gridCol w:w="6201"/>
        <w:gridCol w:w="1495"/>
        <w:gridCol w:w="1479"/>
      </w:tblGrid>
      <w:tr>
        <w:tblPrEx>
          <w:tblW w:w="1190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320"/>
        </w:trPr>
        <w:tc>
          <w:tcPr>
            <w:tcW w:w="1488" w:type="dxa"/>
            <w:vMerge w:val="restart"/>
            <w:vAlign w:val="bottom"/>
          </w:tcPr>
          <w:p>
            <w:pPr>
              <w:spacing w:before="0" w:after="0" w:line="240" w:lineRule="auto"/>
              <w:ind w:left="0"/>
              <w:rPr>
                <w:rFonts w:hint="eastAsia"/>
              </w:rPr>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8940" w:type="dxa"/>
            <w:gridSpan w:val="3"/>
            <w:vAlign w:val="bottom"/>
          </w:tcPr>
          <w:p>
            <w:pPr>
              <w:spacing w:before="0" w:after="0" w:line="240" w:lineRule="auto"/>
              <w:ind w:left="0"/>
              <w:rPr>
                <w:rFonts w:hint="eastAsia"/>
                <w:i/>
                <w:color w:val="0000FF"/>
              </w:rPr>
            </w:pPr>
          </w:p>
        </w:tc>
        <w:tc>
          <w:tcPr>
            <w:tcW w:w="1479" w:type="dxa"/>
            <w:vMerge w:val="restart"/>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1084"/>
        </w:trPr>
        <w:tc>
          <w:tcPr>
            <w:tcW w:w="1488" w:type="dxa"/>
            <w:vMerge/>
            <w:shd w:val="clear" w:color="auto" w:fill="auto"/>
            <w:vAlign w:val="center"/>
          </w:tcPr>
          <w:p>
            <w:pPr>
              <w:pStyle w:val="Cover1"/>
              <w:jc w:val="left"/>
            </w:pPr>
          </w:p>
        </w:tc>
        <w:tc>
          <w:tcPr>
            <w:tcW w:w="8940" w:type="dxa"/>
            <w:gridSpan w:val="3"/>
            <w:shd w:val="clear" w:color="auto" w:fill="auto"/>
            <w:vAlign w:val="center"/>
          </w:tcPr>
          <w:p>
            <w:pPr>
              <w:pStyle w:val="Cover1"/>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79" w:type="dxa"/>
            <w:vMerge/>
            <w:vAlign w:val="bottom"/>
          </w:tcPr>
          <w:p>
            <w:pPr>
              <w:pStyle w:val="Cover1"/>
            </w:pPr>
          </w:p>
        </w:tc>
      </w:tr>
      <w:tr>
        <w:tblPrEx>
          <w:tblW w:w="11907" w:type="dxa"/>
          <w:tblInd w:w="0" w:type="dxa"/>
          <w:tblLayout w:type="fixed"/>
          <w:tblCellMar>
            <w:left w:w="0" w:type="dxa"/>
            <w:right w:w="0" w:type="dxa"/>
          </w:tblCellMar>
          <w:tblLook w:val="01E0"/>
        </w:tblPrEx>
        <w:trPr>
          <w:trHeight w:val="743"/>
        </w:trPr>
        <w:tc>
          <w:tcPr>
            <w:tcW w:w="1488" w:type="dxa"/>
            <w:vMerge/>
            <w:shd w:val="clear" w:color="auto" w:fill="auto"/>
            <w:vAlign w:val="bottom"/>
          </w:tcPr>
          <w:p>
            <w:pPr>
              <w:spacing w:before="0" w:after="0" w:line="240" w:lineRule="auto"/>
              <w:ind w:left="0"/>
            </w:pPr>
          </w:p>
        </w:tc>
        <w:tc>
          <w:tcPr>
            <w:tcW w:w="8940" w:type="dxa"/>
            <w:gridSpan w:val="3"/>
            <w:shd w:val="clear" w:color="auto" w:fill="auto"/>
            <w:vAlign w:val="bottom"/>
          </w:tcPr>
          <w:p>
            <w:pPr>
              <w:spacing w:before="0" w:after="0" w:line="240" w:lineRule="auto"/>
              <w:ind w:left="0"/>
            </w:pPr>
          </w:p>
        </w:tc>
        <w:tc>
          <w:tcPr>
            <w:tcW w:w="1479" w:type="dxa"/>
            <w:vMerge/>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5190"/>
        </w:trPr>
        <w:tc>
          <w:tcPr>
            <w:tcW w:w="10428" w:type="dxa"/>
            <w:gridSpan w:val="4"/>
            <w:tcBorders>
              <w:bottom w:val="nil"/>
            </w:tcBorders>
            <w:shd w:val="clear" w:color="auto" w:fill="auto"/>
            <w:vAlign w:val="bottom"/>
          </w:tcPr>
          <w:p>
            <w:pPr>
              <w:spacing w:before="0" w:after="0" w:line="240" w:lineRule="auto"/>
              <w:ind w:left="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9.75pt;height:258pt">
                  <v:imagedata r:id="rId4" o:title="方圆ok1"/>
                </v:shape>
              </w:pict>
            </w:r>
          </w:p>
        </w:tc>
        <w:tc>
          <w:tcPr>
            <w:tcW w:w="1479" w:type="dxa"/>
            <w:vMerge/>
            <w:tcBorders>
              <w:bottom w:val="nil"/>
            </w:tcBorders>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2235"/>
        </w:trPr>
        <w:tc>
          <w:tcPr>
            <w:tcW w:w="1488" w:type="dxa"/>
            <w:vMerge w:val="restart"/>
            <w:tcBorders>
              <w:bottom w:val="nil"/>
            </w:tcBorders>
            <w:shd w:val="clear" w:color="auto" w:fill="auto"/>
            <w:vAlign w:val="bottom"/>
          </w:tcPr>
          <w:p>
            <w:pPr>
              <w:spacing w:before="0" w:after="0" w:line="240" w:lineRule="auto"/>
              <w:ind w:left="0"/>
            </w:pPr>
          </w:p>
        </w:tc>
        <w:tc>
          <w:tcPr>
            <w:tcW w:w="7445" w:type="dxa"/>
            <w:gridSpan w:val="2"/>
            <w:tcBorders>
              <w:bottom w:val="nil"/>
            </w:tcBorders>
            <w:shd w:val="clear" w:color="auto" w:fill="auto"/>
            <w:vAlign w:val="center"/>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AC</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V200R022</w:t>
            </w:r>
            <w:r>
              <w:fldChar w:fldCharType="end"/>
            </w:r>
          </w:p>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Installation Guide</w:t>
            </w:r>
            <w:r>
              <w:rPr>
                <w:sz w:val="48"/>
                <w:szCs w:val="48"/>
              </w:rPr>
              <w:fldChar w:fldCharType="end"/>
            </w:r>
          </w:p>
        </w:tc>
        <w:tc>
          <w:tcPr>
            <w:tcW w:w="1495" w:type="dxa"/>
            <w:vMerge w:val="restart"/>
            <w:tcBorders>
              <w:bottom w:val="nil"/>
            </w:tcBorders>
            <w:vAlign w:val="bottom"/>
          </w:tcPr>
          <w:p>
            <w:pPr>
              <w:pStyle w:val="Cover4"/>
            </w:pPr>
            <w:r>
              <w:pict>
                <v:shape id="_x0000_i1027" type="#_x0000_t75" style="width:74.25pt;height:1in">
                  <v:imagedata r:id="rId5" o:title="附件1-16K"/>
                </v:shape>
              </w:pict>
            </w:r>
          </w:p>
        </w:tc>
        <w:tc>
          <w:tcPr>
            <w:tcW w:w="1479" w:type="dxa"/>
            <w:vMerge/>
            <w:tcBorders>
              <w:bottom w:val="nil"/>
            </w:tcBorders>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742"/>
        </w:trPr>
        <w:tc>
          <w:tcPr>
            <w:tcW w:w="1488" w:type="dxa"/>
            <w:vMerge/>
            <w:shd w:val="clear" w:color="auto" w:fill="auto"/>
            <w:vAlign w:val="bottom"/>
          </w:tcPr>
          <w:p>
            <w:pPr>
              <w:spacing w:before="0" w:after="0" w:line="240" w:lineRule="auto"/>
              <w:ind w:left="0"/>
            </w:pPr>
          </w:p>
        </w:tc>
        <w:tc>
          <w:tcPr>
            <w:tcW w:w="7445" w:type="dxa"/>
            <w:gridSpan w:val="2"/>
            <w:shd w:val="clear" w:color="auto" w:fill="auto"/>
            <w:vAlign w:val="bottom"/>
          </w:tcPr>
          <w:p>
            <w:pPr>
              <w:spacing w:before="0" w:after="0" w:line="240" w:lineRule="auto"/>
              <w:ind w:left="0"/>
            </w:pPr>
          </w:p>
        </w:tc>
        <w:tc>
          <w:tcPr>
            <w:tcW w:w="1495" w:type="dxa"/>
            <w:vMerge/>
            <w:vAlign w:val="bottom"/>
          </w:tcPr>
          <w:p>
            <w:pPr>
              <w:ind w:left="0"/>
            </w:pPr>
          </w:p>
        </w:tc>
        <w:tc>
          <w:tcPr>
            <w:tcW w:w="1479" w:type="dxa"/>
            <w:vMerge/>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372"/>
        </w:trPr>
        <w:tc>
          <w:tcPr>
            <w:tcW w:w="1488" w:type="dxa"/>
            <w:vMerge/>
            <w:vAlign w:val="bottom"/>
          </w:tcPr>
          <w:p>
            <w:pPr>
              <w:spacing w:before="0" w:after="0" w:line="240" w:lineRule="auto"/>
              <w:ind w:left="0"/>
            </w:pPr>
          </w:p>
        </w:tc>
        <w:tc>
          <w:tcPr>
            <w:tcW w:w="1244" w:type="dxa"/>
            <w:vAlign w:val="bottom"/>
          </w:tcPr>
          <w:p>
            <w:pPr>
              <w:pStyle w:val="Cover5"/>
              <w:rPr>
                <w:b/>
              </w:rPr>
            </w:pPr>
            <w:r>
              <w:rPr>
                <w:b/>
              </w:rPr>
              <w:t>Issue</w:t>
            </w:r>
          </w:p>
        </w:tc>
        <w:tc>
          <w:tcPr>
            <w:tcW w:w="6201" w:type="dxa"/>
            <w:vAlign w:val="bottom"/>
          </w:tcPr>
          <w:p>
            <w:pPr>
              <w:pStyle w:val="Cover5"/>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95" w:type="dxa"/>
            <w:vMerge/>
            <w:vAlign w:val="bottom"/>
          </w:tcPr>
          <w:p>
            <w:pPr>
              <w:ind w:left="0"/>
            </w:pPr>
          </w:p>
        </w:tc>
        <w:tc>
          <w:tcPr>
            <w:tcW w:w="1479" w:type="dxa"/>
            <w:vMerge/>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371"/>
        </w:trPr>
        <w:tc>
          <w:tcPr>
            <w:tcW w:w="1488" w:type="dxa"/>
            <w:vMerge/>
            <w:vAlign w:val="bottom"/>
          </w:tcPr>
          <w:p>
            <w:pPr>
              <w:spacing w:before="0" w:after="0" w:line="240" w:lineRule="auto"/>
              <w:ind w:left="0"/>
            </w:pPr>
          </w:p>
        </w:tc>
        <w:tc>
          <w:tcPr>
            <w:tcW w:w="1244" w:type="dxa"/>
            <w:vAlign w:val="bottom"/>
          </w:tcPr>
          <w:p>
            <w:pPr>
              <w:pStyle w:val="Cover5"/>
              <w:rPr>
                <w:b/>
              </w:rPr>
            </w:pPr>
            <w:r>
              <w:rPr>
                <w:b/>
              </w:rPr>
              <w:t>Date</w:t>
            </w:r>
          </w:p>
        </w:tc>
        <w:tc>
          <w:tcPr>
            <w:tcW w:w="6201" w:type="dxa"/>
            <w:vAlign w:val="bottom"/>
          </w:tcPr>
          <w:p>
            <w:pPr>
              <w:pStyle w:val="Cover5"/>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2022-12-30</w:t>
            </w:r>
            <w:r>
              <w:fldChar w:fldCharType="end"/>
            </w:r>
          </w:p>
        </w:tc>
        <w:tc>
          <w:tcPr>
            <w:tcW w:w="1495" w:type="dxa"/>
            <w:vMerge/>
            <w:vAlign w:val="bottom"/>
          </w:tcPr>
          <w:p>
            <w:pPr>
              <w:ind w:left="0"/>
            </w:pPr>
          </w:p>
        </w:tc>
        <w:tc>
          <w:tcPr>
            <w:tcW w:w="1479" w:type="dxa"/>
            <w:vMerge/>
            <w:vAlign w:val="bottom"/>
          </w:tcPr>
          <w:p>
            <w:pPr>
              <w:spacing w:before="0" w:after="0" w:line="240" w:lineRule="auto"/>
              <w:ind w:left="0"/>
            </w:pPr>
          </w:p>
        </w:tc>
      </w:tr>
      <w:tr>
        <w:tblPrEx>
          <w:tblW w:w="11907" w:type="dxa"/>
          <w:tblInd w:w="0" w:type="dxa"/>
          <w:tblLayout w:type="fixed"/>
          <w:tblCellMar>
            <w:left w:w="0" w:type="dxa"/>
            <w:right w:w="0" w:type="dxa"/>
          </w:tblCellMar>
          <w:tblLook w:val="01E0"/>
        </w:tblPrEx>
        <w:trPr>
          <w:trHeight w:val="3500"/>
        </w:trPr>
        <w:tc>
          <w:tcPr>
            <w:tcW w:w="1488" w:type="dxa"/>
            <w:vMerge/>
            <w:vAlign w:val="bottom"/>
          </w:tcPr>
          <w:p>
            <w:pPr>
              <w:spacing w:before="0" w:after="0" w:line="240" w:lineRule="auto"/>
              <w:ind w:left="0"/>
            </w:pPr>
          </w:p>
        </w:tc>
        <w:tc>
          <w:tcPr>
            <w:tcW w:w="7445" w:type="dxa"/>
            <w:gridSpan w:val="2"/>
            <w:vAlign w:val="bottom"/>
          </w:tcPr>
          <w:p>
            <w:pPr>
              <w:pStyle w:val="Cover4"/>
              <w:rPr>
                <w:sz w:val="21"/>
              </w:rPr>
            </w:pPr>
            <w:r>
              <w:t>H</w:t>
            </w:r>
            <w:r>
              <w:rPr>
                <w:rFonts w:hint="eastAsia"/>
              </w:rPr>
              <w:t xml:space="preserve">UAWEI </w:t>
            </w:r>
            <w:r>
              <w:t>T</w:t>
            </w:r>
            <w:r>
              <w:rPr>
                <w:rFonts w:hint="eastAsia"/>
              </w:rPr>
              <w:t>ECHNOLOGIES</w:t>
            </w:r>
            <w:r>
              <w:t xml:space="preserve"> C</w:t>
            </w:r>
            <w:r>
              <w:rPr>
                <w:rFonts w:hint="eastAsia"/>
              </w:rPr>
              <w:t>O</w:t>
            </w:r>
            <w:r>
              <w:t>., L</w:t>
            </w:r>
            <w:r>
              <w:rPr>
                <w:rFonts w:hint="eastAsia"/>
              </w:rPr>
              <w:t>TD</w:t>
            </w:r>
            <w:r>
              <w:t>.</w:t>
            </w:r>
          </w:p>
        </w:tc>
        <w:tc>
          <w:tcPr>
            <w:tcW w:w="1495" w:type="dxa"/>
            <w:vMerge/>
            <w:vAlign w:val="bottom"/>
          </w:tcPr>
          <w:p>
            <w:pPr>
              <w:ind w:left="0"/>
            </w:pPr>
          </w:p>
        </w:tc>
        <w:tc>
          <w:tcPr>
            <w:tcW w:w="1479" w:type="dxa"/>
            <w:vMerge/>
            <w:vAlign w:val="bottom"/>
          </w:tcPr>
          <w:p>
            <w:pPr>
              <w:spacing w:before="0" w:after="0" w:line="240" w:lineRule="auto"/>
              <w:ind w:left="0"/>
            </w:pPr>
          </w:p>
        </w:tc>
      </w:tr>
    </w:tbl>
    <w:p>
      <w:pPr>
        <w:ind w:left="0"/>
        <w:rPr>
          <w:rFonts w:hint="eastAsia"/>
        </w:rPr>
        <w:sectPr>
          <w:headerReference w:type="even" r:id="rId6"/>
          <w:headerReference w:type="default" r:id="rId7"/>
          <w:footerReference w:type="even" r:id="rId8"/>
          <w:footerReference w:type="default" r:id="rId9"/>
          <w:headerReference w:type="first" r:id="rId10"/>
          <w:footerReference w:type="first" r:id="rId11"/>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526"/>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pPr>
            <w:r>
              <w:rPr>
                <w:b/>
                <w:kern w:val="0"/>
              </w:rPr>
              <w:t xml:space="preserve">Copyright © Huawei Technologies Co., Ltd. </w:t>
            </w:r>
            <w:r>
              <w:rPr>
                <w:rFonts w:hint="eastAsia"/>
                <w:b/>
                <w:kern w:val="0"/>
              </w:rPr>
              <w:t>2022</w:t>
            </w:r>
            <w:r>
              <w:rPr>
                <w:b/>
                <w:kern w:val="0"/>
              </w:rPr>
              <w:t>. All rights reserved.</w:t>
            </w:r>
          </w:p>
          <w:p>
            <w:pPr>
              <w:pStyle w:val="CoverText"/>
            </w:pPr>
            <w:r>
              <w:t>No part of this document may be reproduced or transmitted in any form or by any means without prior written consent of Huawei Technologies Co., Ltd.</w:t>
            </w:r>
          </w:p>
          <w:p>
            <w:pPr>
              <w:pStyle w:val="Cover3"/>
              <w:rPr>
                <w:rFonts w:hint="eastAsia"/>
              </w:rPr>
            </w:pPr>
          </w:p>
          <w:p>
            <w:pPr>
              <w:pStyle w:val="Cover3"/>
            </w:pPr>
            <w:r>
              <w:rPr>
                <w:b/>
                <w:kern w:val="0"/>
              </w:rPr>
              <w:t>Trademarks and Permissions</w:t>
            </w:r>
          </w:p>
          <w:p>
            <w:pPr>
              <w:pStyle w:val="CoverText"/>
            </w:pPr>
            <w:r>
              <w:rPr>
                <w:position w:val="-1"/>
              </w:rPr>
              <w:pict>
                <v:shape id="_x0000_i1028" type="#_x0000_t75" style="width:23.25pt;height:22.5pt">
                  <v:imagedata r:id="rId5" o:title="附件3-图"/>
                </v:shape>
              </w:pict>
            </w:r>
            <w:r>
              <w:t xml:space="preserve"> and other Huawei trademarks are trademarks of Huawei Technologies Co., Ltd.</w:t>
            </w:r>
          </w:p>
          <w:p>
            <w:pPr>
              <w:pStyle w:val="CoverText"/>
            </w:pPr>
            <w:r>
              <w:t>All other trademarks and trade names mentioned in this document are the property of their respective holders.</w:t>
            </w:r>
          </w:p>
          <w:p>
            <w:pPr>
              <w:pStyle w:val="CoverText"/>
            </w:pPr>
          </w:p>
          <w:p>
            <w:pPr>
              <w:pStyle w:val="Cover3"/>
              <w:rPr>
                <w:kern w:val="0"/>
              </w:rPr>
            </w:pPr>
            <w:r>
              <w:rPr>
                <w:b/>
                <w:kern w:val="0"/>
              </w:rPr>
              <w:t>Notice</w:t>
            </w:r>
          </w:p>
          <w:p>
            <w:pPr>
              <w:pStyle w:val="CoverTex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343"/>
        <w:gridCol w:w="8183"/>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2"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sectPr>
          <w:headerReference w:type="even" r:id="rId13"/>
          <w:headerReference w:type="default" r:id="rId14"/>
          <w:footerReference w:type="even" r:id="rId15"/>
          <w:footerReference w:type="default" r:id="rId16"/>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Precautions</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Preparing to Install</w:t>
        </w:r>
        <w:r>
          <w:tab/>
        </w:r>
        <w:r>
          <w:fldChar w:fldCharType="begin"/>
        </w:r>
        <w:r>
          <w:instrText xml:space="preserve"> PAGEREF _Toc256000001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Preinstallation To-Do List</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2.2</w:t>
        </w:r>
        <w:r>
          <w:rPr>
            <w:rStyle w:val="Hyperlink"/>
            <w:snapToGrid w:val="0"/>
          </w:rPr>
          <w:t xml:space="preserve"> </w:t>
        </w:r>
        <w:r>
          <w:rPr>
            <w:rStyle w:val="Hyperlink"/>
          </w:rPr>
          <w:t>Obtaining Patch Files and Reference Documents</w:t>
        </w:r>
        <w:r>
          <w:tab/>
        </w:r>
        <w:r>
          <w:fldChar w:fldCharType="begin"/>
        </w:r>
        <w:r>
          <w:instrText xml:space="preserve"> PAGEREF _Toc256000003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2.3</w:t>
        </w:r>
        <w:r>
          <w:rPr>
            <w:rStyle w:val="Hyperlink"/>
            <w:snapToGrid w:val="0"/>
          </w:rPr>
          <w:t xml:space="preserve"> </w:t>
        </w:r>
        <w:r>
          <w:rPr>
            <w:rStyle w:val="Hyperlink"/>
          </w:rPr>
          <w:t>Verifying Software Integrity</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2.4</w:t>
        </w:r>
        <w:r>
          <w:rPr>
            <w:rStyle w:val="Hyperlink"/>
            <w:snapToGrid w:val="0"/>
          </w:rPr>
          <w:t xml:space="preserve"> </w:t>
        </w:r>
        <w:r>
          <w:rPr>
            <w:rStyle w:val="Hyperlink"/>
          </w:rPr>
          <w:t>Checking the Current Version</w:t>
        </w:r>
        <w:r>
          <w:tab/>
        </w:r>
        <w:r>
          <w:fldChar w:fldCharType="begin"/>
        </w:r>
        <w:r>
          <w:instrText xml:space="preserve"> PAGEREF _Toc256000005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2.5</w:t>
        </w:r>
        <w:r>
          <w:rPr>
            <w:rStyle w:val="Hyperlink"/>
            <w:snapToGrid w:val="0"/>
          </w:rPr>
          <w:t xml:space="preserve"> </w:t>
        </w:r>
        <w:r>
          <w:rPr>
            <w:rStyle w:val="Hyperlink"/>
          </w:rPr>
          <w:t>Collecting Device Diagnostic Information</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2.6</w:t>
        </w:r>
        <w:r>
          <w:rPr>
            <w:rStyle w:val="Hyperlink"/>
            <w:snapToGrid w:val="0"/>
          </w:rPr>
          <w:t xml:space="preserve"> </w:t>
        </w:r>
        <w:r>
          <w:rPr>
            <w:rStyle w:val="Hyperlink"/>
          </w:rPr>
          <w:t>Backing Up Configuration</w:t>
        </w:r>
        <w:r>
          <w:tab/>
        </w:r>
        <w:r>
          <w:fldChar w:fldCharType="begin"/>
        </w:r>
        <w:r>
          <w:instrText xml:space="preserve"> PAGEREF _Toc256000007 \h </w:instrText>
        </w:r>
        <w:r>
          <w:fldChar w:fldCharType="separate"/>
        </w:r>
        <w:r>
          <w:t>4</w:t>
        </w:r>
        <w:r>
          <w:fldChar w:fldCharType="end"/>
        </w:r>
      </w:hyperlink>
    </w:p>
    <w:p>
      <w:pPr>
        <w:pStyle w:val="TOC1"/>
        <w:tabs>
          <w:tab w:val="right" w:leader="dot" w:pos="9629"/>
        </w:tabs>
        <w:rPr>
          <w:rFonts w:ascii="Calibri" w:hAnsi="Calibri"/>
          <w:noProof/>
          <w:sz w:val="22"/>
        </w:rPr>
      </w:pPr>
      <w:hyperlink w:anchor="_Toc256000008" w:history="1">
        <w:r>
          <w:rPr>
            <w:rStyle w:val="Hyperlink"/>
          </w:rPr>
          <w:t>3</w:t>
        </w:r>
        <w:r>
          <w:rPr>
            <w:rStyle w:val="Hyperlink"/>
          </w:rPr>
          <w:t xml:space="preserve"> </w:t>
        </w:r>
        <w:r>
          <w:rPr>
            <w:rStyle w:val="Hyperlink"/>
          </w:rPr>
          <w:t>Installing Patches (Local Mode)</w:t>
        </w:r>
        <w:r>
          <w:tab/>
        </w:r>
        <w:r>
          <w:fldChar w:fldCharType="begin"/>
        </w:r>
        <w:r>
          <w:instrText xml:space="preserve"> PAGEREF _Toc256000008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3.1</w:t>
        </w:r>
        <w:r>
          <w:rPr>
            <w:rStyle w:val="Hyperlink"/>
            <w:snapToGrid w:val="0"/>
          </w:rPr>
          <w:t xml:space="preserve"> </w:t>
        </w:r>
        <w:r>
          <w:rPr>
            <w:rStyle w:val="Hyperlink"/>
          </w:rPr>
          <w:t>Patch Installation Process</w:t>
        </w:r>
        <w:r>
          <w:tab/>
        </w:r>
        <w:r>
          <w:fldChar w:fldCharType="begin"/>
        </w:r>
        <w:r>
          <w:instrText xml:space="preserve"> PAGEREF _Toc256000009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3.2</w:t>
        </w:r>
        <w:r>
          <w:rPr>
            <w:rStyle w:val="Hyperlink"/>
            <w:snapToGrid w:val="0"/>
          </w:rPr>
          <w:t xml:space="preserve"> </w:t>
        </w:r>
        <w:r>
          <w:rPr>
            <w:rStyle w:val="Hyperlink"/>
          </w:rPr>
          <w:t>Loading and Activating a Patch Package</w:t>
        </w:r>
        <w:r>
          <w:tab/>
        </w:r>
        <w:r>
          <w:fldChar w:fldCharType="begin"/>
        </w:r>
        <w:r>
          <w:instrText xml:space="preserve"> PAGEREF _Toc256000010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3.3</w:t>
        </w:r>
        <w:r>
          <w:rPr>
            <w:rStyle w:val="Hyperlink"/>
            <w:snapToGrid w:val="0"/>
          </w:rPr>
          <w:t xml:space="preserve"> </w:t>
        </w:r>
        <w:r>
          <w:rPr>
            <w:rStyle w:val="Hyperlink"/>
          </w:rPr>
          <w:t>Loading the Web File</w:t>
        </w:r>
        <w:r>
          <w:tab/>
        </w:r>
        <w:r>
          <w:fldChar w:fldCharType="begin"/>
        </w:r>
        <w:r>
          <w:instrText xml:space="preserve"> PAGEREF _Toc256000011 \h </w:instrText>
        </w:r>
        <w:r>
          <w:fldChar w:fldCharType="separate"/>
        </w:r>
        <w:r>
          <w:t>8</w:t>
        </w:r>
        <w:r>
          <w:fldChar w:fldCharType="end"/>
        </w:r>
      </w:hyperlink>
    </w:p>
    <w:p>
      <w:pPr>
        <w:pStyle w:val="TOC1"/>
        <w:tabs>
          <w:tab w:val="right" w:leader="dot" w:pos="9629"/>
        </w:tabs>
        <w:rPr>
          <w:rFonts w:ascii="Calibri" w:hAnsi="Calibri"/>
          <w:noProof/>
          <w:sz w:val="22"/>
        </w:rPr>
      </w:pPr>
      <w:hyperlink w:anchor="_Toc256000012" w:history="1">
        <w:r>
          <w:rPr>
            <w:rStyle w:val="Hyperlink"/>
          </w:rPr>
          <w:t>4</w:t>
        </w:r>
        <w:r>
          <w:rPr>
            <w:rStyle w:val="Hyperlink"/>
          </w:rPr>
          <w:t xml:space="preserve"> </w:t>
        </w:r>
        <w:r>
          <w:rPr>
            <w:rStyle w:val="Hyperlink"/>
          </w:rPr>
          <w:t>Installing Patches (Intelligent Upgrade)</w:t>
        </w:r>
        <w:r>
          <w:tab/>
        </w:r>
        <w:r>
          <w:fldChar w:fldCharType="begin"/>
        </w:r>
        <w:r>
          <w:instrText xml:space="preserve"> PAGEREF _Toc256000012 \h </w:instrText>
        </w:r>
        <w:r>
          <w:fldChar w:fldCharType="separate"/>
        </w:r>
        <w:r>
          <w:t>11</w:t>
        </w:r>
        <w:r>
          <w:fldChar w:fldCharType="end"/>
        </w:r>
      </w:hyperlink>
    </w:p>
    <w:p>
      <w:pPr>
        <w:pStyle w:val="TOC1"/>
        <w:tabs>
          <w:tab w:val="right" w:leader="dot" w:pos="9629"/>
        </w:tabs>
        <w:rPr>
          <w:rFonts w:ascii="Calibri" w:hAnsi="Calibri"/>
          <w:noProof/>
          <w:sz w:val="22"/>
        </w:rPr>
      </w:pPr>
      <w:hyperlink w:anchor="_Toc256000013" w:history="1">
        <w:r>
          <w:rPr>
            <w:rStyle w:val="Hyperlink"/>
          </w:rPr>
          <w:t>5</w:t>
        </w:r>
        <w:r>
          <w:rPr>
            <w:rStyle w:val="Hyperlink"/>
          </w:rPr>
          <w:t xml:space="preserve"> </w:t>
        </w:r>
        <w:r>
          <w:rPr>
            <w:rStyle w:val="Hyperlink"/>
          </w:rPr>
          <w:t>Verifying Patch Installation</w:t>
        </w:r>
        <w:r>
          <w:tab/>
        </w:r>
        <w:r>
          <w:fldChar w:fldCharType="begin"/>
        </w:r>
        <w:r>
          <w:instrText xml:space="preserve"> PAGEREF _Toc256000013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5.1</w:t>
        </w:r>
        <w:r>
          <w:rPr>
            <w:rStyle w:val="Hyperlink"/>
            <w:snapToGrid w:val="0"/>
          </w:rPr>
          <w:t xml:space="preserve"> </w:t>
        </w:r>
        <w:r>
          <w:rPr>
            <w:rStyle w:val="Hyperlink"/>
          </w:rPr>
          <w:t>Verifying Version Information</w:t>
        </w:r>
        <w:r>
          <w:tab/>
        </w:r>
        <w:r>
          <w:fldChar w:fldCharType="begin"/>
        </w:r>
        <w:r>
          <w:instrText xml:space="preserve"> PAGEREF _Toc256000014 \h </w:instrText>
        </w:r>
        <w:r>
          <w:fldChar w:fldCharType="separate"/>
        </w:r>
        <w:r>
          <w:t>13</w:t>
        </w:r>
        <w:r>
          <w:fldChar w:fldCharType="end"/>
        </w:r>
      </w:hyperlink>
    </w:p>
    <w:p>
      <w:pPr>
        <w:pStyle w:val="TOC1"/>
        <w:tabs>
          <w:tab w:val="right" w:leader="dot" w:pos="9629"/>
        </w:tabs>
        <w:rPr>
          <w:rFonts w:ascii="Calibri" w:hAnsi="Calibri"/>
          <w:noProof/>
          <w:sz w:val="22"/>
        </w:rPr>
      </w:pPr>
      <w:hyperlink w:anchor="_Toc256000015" w:history="1">
        <w:r>
          <w:rPr>
            <w:rStyle w:val="Hyperlink"/>
          </w:rPr>
          <w:t>6</w:t>
        </w:r>
        <w:r>
          <w:rPr>
            <w:rStyle w:val="Hyperlink"/>
          </w:rPr>
          <w:t xml:space="preserve"> </w:t>
        </w:r>
        <w:r>
          <w:rPr>
            <w:rStyle w:val="Hyperlink"/>
          </w:rPr>
          <w:t>Rolling Back Patch Installation</w:t>
        </w:r>
        <w:r>
          <w:tab/>
        </w:r>
        <w:r>
          <w:fldChar w:fldCharType="begin"/>
        </w:r>
        <w:r>
          <w:instrText xml:space="preserve"> PAGEREF _Toc256000015 \h </w:instrText>
        </w:r>
        <w:r>
          <w:fldChar w:fldCharType="separate"/>
        </w:r>
        <w:r>
          <w:t>14</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6.1</w:t>
        </w:r>
        <w:r>
          <w:rPr>
            <w:rStyle w:val="Hyperlink"/>
            <w:snapToGrid w:val="0"/>
          </w:rPr>
          <w:t xml:space="preserve"> </w:t>
        </w:r>
        <w:r>
          <w:rPr>
            <w:rStyle w:val="Hyperlink"/>
          </w:rPr>
          <w:t>Guidelines</w:t>
        </w:r>
        <w:r>
          <w:tab/>
        </w:r>
        <w:r>
          <w:fldChar w:fldCharType="begin"/>
        </w:r>
        <w:r>
          <w:instrText xml:space="preserve"> PAGEREF _Toc256000016 \h </w:instrText>
        </w:r>
        <w:r>
          <w:fldChar w:fldCharType="separate"/>
        </w:r>
        <w:r>
          <w:t>14</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6.2</w:t>
        </w:r>
        <w:r>
          <w:rPr>
            <w:rStyle w:val="Hyperlink"/>
            <w:snapToGrid w:val="0"/>
          </w:rPr>
          <w:t xml:space="preserve"> </w:t>
        </w:r>
        <w:r>
          <w:rPr>
            <w:rStyle w:val="Hyperlink"/>
          </w:rPr>
          <w:t>Rollback Version and Patch</w:t>
        </w:r>
        <w:r>
          <w:tab/>
        </w:r>
        <w:r>
          <w:fldChar w:fldCharType="begin"/>
        </w:r>
        <w:r>
          <w:instrText xml:space="preserve"> PAGEREF _Toc256000017 \h </w:instrText>
        </w:r>
        <w:r>
          <w:fldChar w:fldCharType="separate"/>
        </w:r>
        <w:r>
          <w:t>14</w:t>
        </w:r>
        <w:r>
          <w:fldChar w:fldCharType="end"/>
        </w:r>
      </w:hyperlink>
    </w:p>
    <w:p>
      <w:pPr>
        <w:pStyle w:val="TOC1"/>
        <w:tabs>
          <w:tab w:val="right" w:leader="dot" w:pos="9629"/>
        </w:tabs>
        <w:rPr>
          <w:rFonts w:ascii="Calibri" w:hAnsi="Calibri"/>
          <w:noProof/>
          <w:sz w:val="22"/>
        </w:rPr>
      </w:pPr>
      <w:hyperlink w:anchor="_Toc256000018" w:history="1">
        <w:r>
          <w:rPr>
            <w:rStyle w:val="Hyperlink"/>
          </w:rPr>
          <w:t>7</w:t>
        </w:r>
        <w:r>
          <w:rPr>
            <w:rStyle w:val="Hyperlink"/>
          </w:rPr>
          <w:t xml:space="preserve"> </w:t>
        </w:r>
        <w:r>
          <w:rPr>
            <w:rStyle w:val="Hyperlink"/>
          </w:rPr>
          <w:t>FAQs</w:t>
        </w:r>
        <w:r>
          <w:tab/>
        </w:r>
        <w:r>
          <w:fldChar w:fldCharType="begin"/>
        </w:r>
        <w:r>
          <w:instrText xml:space="preserve"> PAGEREF _Toc256000018 \h </w:instrText>
        </w:r>
        <w:r>
          <w:fldChar w:fldCharType="separate"/>
        </w:r>
        <w:r>
          <w:t>16</w:t>
        </w:r>
        <w:r>
          <w:fldChar w:fldCharType="end"/>
        </w:r>
      </w:hyperlink>
    </w:p>
    <w:p>
      <w:pPr>
        <w:pStyle w:val="TOC1"/>
        <w:tabs>
          <w:tab w:val="right" w:leader="dot" w:pos="9629"/>
        </w:tabs>
        <w:sectPr>
          <w:headerReference w:type="even" r:id="rId17"/>
          <w:headerReference w:type="default" r:id="rId18"/>
          <w:footerReference w:type="even" r:id="rId19"/>
          <w:footerReference w:type="default" r:id="rId20"/>
          <w:headerReference w:type="first" r:id="rId21"/>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1482215473"/>
      <w:bookmarkEnd w:id="0"/>
      <w:bookmarkStart w:id="1" w:name="_EN-US_TOPIC_0000001482215473-chtext"/>
      <w:bookmarkStart w:id="2" w:name="_Toc256000000"/>
      <w:r>
        <w:t>Precautions</w:t>
      </w:r>
      <w:bookmarkEnd w:id="2"/>
      <w:bookmarkEnd w:id="1"/>
    </w:p>
    <w:p>
      <w:r>
        <w:t xml:space="preserve">Before you install the patch, read the </w:t>
      </w:r>
      <w:r>
        <w:rPr>
          <w:i/>
        </w:rPr>
        <w:t xml:space="preserve">patch release notes </w:t>
      </w:r>
      <w:r>
        <w:t>to understand basic information about the patch, impact of the installation, and updates on version mappings.</w:t>
      </w:r>
    </w:p>
    <w:p>
      <w:r>
        <w:t xml:space="preserve">This document assumes that an </w:t>
      </w:r>
      <w:r>
        <w:t>AirEngine 9700-M</w:t>
      </w:r>
      <w:r>
        <w:t xml:space="preserve"> is running </w:t>
      </w:r>
      <w:r>
        <w:t>V200R022C00SPC100</w:t>
      </w:r>
      <w:r>
        <w:t xml:space="preserve"> and describes how to install the </w:t>
      </w:r>
      <w:r>
        <w:t>V200R022C00SPH001</w:t>
      </w:r>
      <w:r>
        <w:t xml:space="preserve"> patch. The patch installation methods for other models are similar.</w:t>
      </w:r>
    </w:p>
    <w:p>
      <w:pPr>
        <w:sectPr>
          <w:headerReference w:type="even" r:id="rId22"/>
          <w:headerReference w:type="default" r:id="rId23"/>
          <w:footerReference w:type="even" r:id="rId24"/>
          <w:footerReference w:type="default" r:id="rId25"/>
          <w:type w:val="nextPage"/>
          <w:pgSz w:w="11907" w:h="16840" w:code="9"/>
          <w:pgMar w:top="1701" w:right="1134" w:bottom="1701" w:left="1134" w:header="567" w:footer="567" w:gutter="0"/>
          <w:pgNumType w:fmt="decimal" w:start="1"/>
          <w:cols w:space="425"/>
          <w:docGrid w:linePitch="312"/>
        </w:sectPr>
      </w:pPr>
    </w:p>
    <w:bookmarkStart w:id="3" w:name="_EN-US_TOPIC_0000001482135417"/>
    <w:bookmarkEnd w:id="3"/>
    <w:p>
      <w:pPr>
        <w:pStyle w:val="Heading1"/>
      </w:pPr>
      <w:bookmarkStart w:id="4" w:name="_EN-US_TOPIC_0000001482135417-chtext"/>
      <w:bookmarkStart w:id="5" w:name="_Toc256000001"/>
      <w:r>
        <w:t>Preparing to Install</w:t>
      </w:r>
      <w:bookmarkEnd w:id="5"/>
      <w:bookmarkEnd w:id="4"/>
    </w:p>
    <w:bookmarkStart w:id="6" w:name="_EN-US_TOPIC_0000001432099162"/>
    <w:bookmarkEnd w:id="6"/>
    <w:p>
      <w:pPr>
        <w:pStyle w:val="Heading2"/>
        <w:numPr>
          <w:numId w:val="47"/>
        </w:numPr>
      </w:pPr>
      <w:bookmarkStart w:id="7" w:name="_EN-US_TOPIC_0000001432099162-chtext"/>
      <w:bookmarkStart w:id="8" w:name="_Toc256000002"/>
      <w:r>
        <w:t>Preinstallation To-Do List</w:t>
      </w:r>
      <w:bookmarkEnd w:id="8"/>
      <w:bookmarkEnd w:id="7"/>
    </w:p>
    <w:p>
      <w:r>
        <w:fldChar w:fldCharType="begin"/>
      </w:r>
      <w:r>
        <w:instrText>REF _table17890920 \r \h</w:instrText>
      </w:r>
      <w:r>
        <w:fldChar w:fldCharType="separate"/>
      </w:r>
      <w:r>
        <w:t>Table 2-1</w:t>
      </w:r>
      <w:r>
        <w:fldChar w:fldCharType="end"/>
      </w:r>
      <w:r>
        <w:t xml:space="preserve"> lists the items to be accomplished before starting patch installation.</w:t>
      </w:r>
    </w:p>
    <w:bookmarkStart w:id="9" w:name="_table17890920"/>
    <w:bookmarkEnd w:id="9"/>
    <w:p>
      <w:pPr>
        <w:pStyle w:val="TableDescription"/>
      </w:pPr>
      <w:r>
        <w:t>Preinstallation to-do 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Start Time</w:t>
            </w:r>
          </w:p>
        </w:tc>
        <w:tc>
          <w:tcPr>
            <w:tcW w:w="1250" w:type="pct"/>
            <w:tcBorders>
              <w:top w:val="single" w:sz="6" w:space="0" w:color="000000"/>
              <w:bottom w:val="single" w:sz="6" w:space="0" w:color="000000"/>
            </w:tcBorders>
            <w:shd w:val="clear" w:color="auto" w:fill="D9D9D9"/>
          </w:tcPr>
          <w:p>
            <w:pPr>
              <w:pStyle w:val="TableHeading"/>
            </w:pPr>
            <w:r>
              <w:t>Time Required (Minutes)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1</w:t>
            </w:r>
          </w:p>
        </w:tc>
        <w:tc>
          <w:tcPr>
            <w:tcW w:w="1250" w:type="pct"/>
            <w:tcBorders>
              <w:top w:val="single" w:sz="6" w:space="0" w:color="000000"/>
              <w:bottom w:val="single" w:sz="6" w:space="0" w:color="000000"/>
              <w:right w:val="single" w:sz="6" w:space="0" w:color="000000"/>
            </w:tcBorders>
          </w:tcPr>
          <w:p>
            <w:pPr>
              <w:pStyle w:val="TableText"/>
            </w:pPr>
            <w:r>
              <w:fldChar w:fldCharType="begin"/>
            </w:r>
            <w:r>
              <w:instrText>REF _EN-US_TOPIC_0000001481975961 \r \h</w:instrText>
            </w:r>
            <w:r>
              <w:fldChar w:fldCharType="separate"/>
            </w:r>
            <w:r>
              <w:t xml:space="preserve">2.2 </w:t>
            </w:r>
            <w:r>
              <w:fldChar w:fldCharType="end"/>
            </w:r>
            <w:r>
              <w:fldChar w:fldCharType="begin"/>
            </w:r>
            <w:r>
              <w:instrText>REF _EN-US_TOPIC_0000001481975961-chtext \h</w:instrText>
            </w:r>
            <w:r>
              <w:fldChar w:fldCharType="separate"/>
            </w:r>
            <w:r>
              <w:t>Obtaining Patch Files and Reference Documents</w:t>
            </w:r>
            <w:r>
              <w:fldChar w:fldCharType="end"/>
            </w:r>
          </w:p>
          <w:p>
            <w:pPr>
              <w:pStyle w:val="TableText"/>
            </w:pPr>
            <w:r>
              <w:fldChar w:fldCharType="begin"/>
            </w:r>
            <w:r>
              <w:instrText>REF _EN-US_TOPIC_0000001431939190 \r \h</w:instrText>
            </w:r>
            <w:r>
              <w:fldChar w:fldCharType="separate"/>
            </w:r>
            <w:r>
              <w:t xml:space="preserve">2.3 </w:t>
            </w:r>
            <w:r>
              <w:fldChar w:fldCharType="end"/>
            </w:r>
            <w:r>
              <w:fldChar w:fldCharType="begin"/>
            </w:r>
            <w:r>
              <w:instrText>REF _EN-US_TOPIC_0000001431939190-chtext \h</w:instrText>
            </w:r>
            <w:r>
              <w:fldChar w:fldCharType="separate"/>
            </w:r>
            <w:r>
              <w:t>Verifying Software Integrity</w:t>
            </w:r>
            <w:r>
              <w:fldChar w:fldCharType="end"/>
            </w:r>
          </w:p>
        </w:tc>
        <w:tc>
          <w:tcPr>
            <w:tcW w:w="1250" w:type="pct"/>
            <w:tcBorders>
              <w:top w:val="single" w:sz="6" w:space="0" w:color="000000"/>
              <w:bottom w:val="single" w:sz="6" w:space="0" w:color="000000"/>
              <w:right w:val="single" w:sz="6" w:space="0" w:color="000000"/>
            </w:tcBorders>
          </w:tcPr>
          <w:p>
            <w:pPr>
              <w:pStyle w:val="TableText"/>
            </w:pPr>
            <w:r>
              <w:t>One day before patch installation</w:t>
            </w:r>
          </w:p>
        </w:tc>
        <w:tc>
          <w:tcPr>
            <w:tcW w:w="1250" w:type="pct"/>
            <w:tcBorders>
              <w:top w:val="single" w:sz="6" w:space="0" w:color="000000"/>
              <w:bottom w:val="single" w:sz="6" w:space="0" w:color="000000"/>
            </w:tcBorders>
          </w:tcPr>
          <w:p>
            <w:pPr>
              <w:pStyle w:val="TableText"/>
            </w:pPr>
            <w:r>
              <w:t>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2</w:t>
            </w:r>
          </w:p>
        </w:tc>
        <w:tc>
          <w:tcPr>
            <w:tcW w:w="1250" w:type="pct"/>
            <w:tcBorders>
              <w:top w:val="single" w:sz="6" w:space="0" w:color="000000"/>
              <w:bottom w:val="single" w:sz="6" w:space="0" w:color="000000"/>
              <w:right w:val="single" w:sz="6" w:space="0" w:color="000000"/>
            </w:tcBorders>
          </w:tcPr>
          <w:p>
            <w:pPr>
              <w:pStyle w:val="TableText"/>
            </w:pPr>
            <w:r>
              <w:fldChar w:fldCharType="begin"/>
            </w:r>
            <w:r>
              <w:instrText>REF _EN-US_TOPIC_0000001481775693 \r \h</w:instrText>
            </w:r>
            <w:r>
              <w:fldChar w:fldCharType="separate"/>
            </w:r>
            <w:r>
              <w:t xml:space="preserve">2.4 </w:t>
            </w:r>
            <w:r>
              <w:fldChar w:fldCharType="end"/>
            </w:r>
            <w:r>
              <w:fldChar w:fldCharType="begin"/>
            </w:r>
            <w:r>
              <w:instrText>REF _EN-US_TOPIC_0000001481775693-chtext \h</w:instrText>
            </w:r>
            <w:r>
              <w:fldChar w:fldCharType="separate"/>
            </w:r>
            <w:r>
              <w:t>Checking the Current Version</w:t>
            </w:r>
            <w:r>
              <w:fldChar w:fldCharType="end"/>
            </w:r>
          </w:p>
        </w:tc>
        <w:tc>
          <w:tcPr>
            <w:tcW w:w="1250" w:type="pct"/>
            <w:tcBorders>
              <w:top w:val="single" w:sz="6" w:space="0" w:color="000000"/>
              <w:bottom w:val="single" w:sz="6" w:space="0" w:color="000000"/>
              <w:right w:val="single" w:sz="6" w:space="0" w:color="000000"/>
            </w:tcBorders>
          </w:tcPr>
          <w:p>
            <w:pPr>
              <w:pStyle w:val="TableText"/>
            </w:pPr>
            <w:r>
              <w:t>One day before patch installation</w:t>
            </w:r>
          </w:p>
        </w:tc>
        <w:tc>
          <w:tcPr>
            <w:tcW w:w="1250" w:type="pct"/>
            <w:tcBorders>
              <w:top w:val="single" w:sz="6" w:space="0" w:color="000000"/>
              <w:bottom w:val="single" w:sz="6" w:space="0" w:color="000000"/>
            </w:tcBorders>
          </w:tcPr>
          <w:p>
            <w:pPr>
              <w:pStyle w:val="TableText"/>
            </w:pPr>
            <w:r>
              <w:t>10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3</w:t>
            </w:r>
          </w:p>
        </w:tc>
        <w:tc>
          <w:tcPr>
            <w:tcW w:w="1250" w:type="pct"/>
            <w:tcBorders>
              <w:top w:val="single" w:sz="6" w:space="0" w:color="000000"/>
              <w:bottom w:val="single" w:sz="6" w:space="0" w:color="000000"/>
              <w:right w:val="single" w:sz="6" w:space="0" w:color="000000"/>
            </w:tcBorders>
          </w:tcPr>
          <w:p>
            <w:pPr>
              <w:pStyle w:val="TableText"/>
            </w:pPr>
            <w:r>
              <w:fldChar w:fldCharType="begin"/>
            </w:r>
            <w:r>
              <w:instrText>REF _EN-US_TOPIC_0000001481975957 \r \h</w:instrText>
            </w:r>
            <w:r>
              <w:fldChar w:fldCharType="separate"/>
            </w:r>
            <w:r>
              <w:t xml:space="preserve">2.5 </w:t>
            </w:r>
            <w:r>
              <w:fldChar w:fldCharType="end"/>
            </w:r>
            <w:r>
              <w:fldChar w:fldCharType="begin"/>
            </w:r>
            <w:r>
              <w:instrText>REF _EN-US_TOPIC_0000001481975957-chtext \h</w:instrText>
            </w:r>
            <w:r>
              <w:fldChar w:fldCharType="separate"/>
            </w:r>
            <w:r>
              <w:t>Collecting Device Diagnostic Information</w:t>
            </w:r>
            <w:r>
              <w:fldChar w:fldCharType="end"/>
            </w:r>
          </w:p>
        </w:tc>
        <w:tc>
          <w:tcPr>
            <w:tcW w:w="1250" w:type="pct"/>
            <w:tcBorders>
              <w:top w:val="single" w:sz="6" w:space="0" w:color="000000"/>
              <w:bottom w:val="single" w:sz="6" w:space="0" w:color="000000"/>
              <w:right w:val="single" w:sz="6" w:space="0" w:color="000000"/>
            </w:tcBorders>
          </w:tcPr>
          <w:p>
            <w:pPr>
              <w:pStyle w:val="TableText"/>
            </w:pPr>
            <w:r>
              <w:t>One day before patch installation</w:t>
            </w:r>
          </w:p>
        </w:tc>
        <w:tc>
          <w:tcPr>
            <w:tcW w:w="1250" w:type="pct"/>
            <w:tcBorders>
              <w:top w:val="single" w:sz="6" w:space="0" w:color="000000"/>
              <w:bottom w:val="single" w:sz="6" w:space="0" w:color="000000"/>
            </w:tcBorders>
          </w:tcPr>
          <w:p>
            <w:pPr>
              <w:pStyle w:val="TableText"/>
            </w:pPr>
            <w:r>
              <w:t>10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4</w:t>
            </w:r>
          </w:p>
        </w:tc>
        <w:tc>
          <w:tcPr>
            <w:tcW w:w="1250" w:type="pct"/>
            <w:tcBorders>
              <w:top w:val="single" w:sz="6" w:space="0" w:color="000000"/>
              <w:bottom w:val="single" w:sz="6" w:space="0" w:color="000000"/>
              <w:right w:val="single" w:sz="6" w:space="0" w:color="000000"/>
            </w:tcBorders>
          </w:tcPr>
          <w:p>
            <w:pPr>
              <w:pStyle w:val="TableText"/>
            </w:pPr>
            <w:r>
              <w:fldChar w:fldCharType="begin"/>
            </w:r>
            <w:r>
              <w:instrText>REF _EN-US_TOPIC_0000001482215477 \r \h</w:instrText>
            </w:r>
            <w:r>
              <w:fldChar w:fldCharType="separate"/>
            </w:r>
            <w:r>
              <w:t xml:space="preserve">2.6 </w:t>
            </w:r>
            <w:r>
              <w:fldChar w:fldCharType="end"/>
            </w:r>
            <w:r>
              <w:fldChar w:fldCharType="begin"/>
            </w:r>
            <w:r>
              <w:instrText>REF _EN-US_TOPIC_0000001482215477-chtext \h</w:instrText>
            </w:r>
            <w:r>
              <w:fldChar w:fldCharType="separate"/>
            </w:r>
            <w:r>
              <w:t>Backing Up Configuration</w:t>
            </w:r>
            <w:r>
              <w:fldChar w:fldCharType="end"/>
            </w:r>
          </w:p>
        </w:tc>
        <w:tc>
          <w:tcPr>
            <w:tcW w:w="1250" w:type="pct"/>
            <w:tcBorders>
              <w:top w:val="single" w:sz="6" w:space="0" w:color="000000"/>
              <w:bottom w:val="single" w:sz="6" w:space="0" w:color="000000"/>
              <w:right w:val="single" w:sz="6" w:space="0" w:color="000000"/>
            </w:tcBorders>
          </w:tcPr>
          <w:p>
            <w:pPr>
              <w:pStyle w:val="TableText"/>
            </w:pPr>
            <w:r>
              <w:t>One day before patch installation</w:t>
            </w:r>
          </w:p>
        </w:tc>
        <w:tc>
          <w:tcPr>
            <w:tcW w:w="1250" w:type="pct"/>
            <w:tcBorders>
              <w:top w:val="single" w:sz="6" w:space="0" w:color="000000"/>
              <w:bottom w:val="single" w:sz="6" w:space="0" w:color="000000"/>
            </w:tcBorders>
          </w:tcPr>
          <w:p>
            <w:pPr>
              <w:pStyle w:val="TableText"/>
            </w:pPr>
            <w:r>
              <w:t>10</w:t>
            </w:r>
          </w:p>
        </w:tc>
      </w:tr>
    </w:tbl>
    <w:p/>
    <w:bookmarkStart w:id="10" w:name="_EN-US_TOPIC_0000001481975961"/>
    <w:bookmarkEnd w:id="10"/>
    <w:p>
      <w:pPr>
        <w:pStyle w:val="Heading2"/>
      </w:pPr>
      <w:bookmarkStart w:id="11" w:name="_EN-US_TOPIC_0000001481975961-chtext"/>
      <w:bookmarkStart w:id="12" w:name="_Toc256000003"/>
      <w:r>
        <w:t>Obtaining Patch Files and Reference Documents</w:t>
      </w:r>
      <w:bookmarkEnd w:id="12"/>
      <w:bookmarkEnd w:id="11"/>
    </w:p>
    <w:p>
      <w:r>
        <w:t>Obtain the patch software and required reference documents one day before the installation. To obtain the required software and documents, perform the following steps:</w:t>
      </w:r>
    </w:p>
    <w:p>
      <w:pPr>
        <w:pStyle w:val="Step"/>
        <w:numPr>
          <w:numId w:val="64"/>
        </w:numPr>
      </w:pPr>
      <w:r>
        <w:t xml:space="preserve">Go to </w:t>
      </w:r>
      <w:hyperlink r:id="rId26" w:tooltip=" " w:history="1">
        <w:r>
          <w:rPr>
            <w:rStyle w:val="Hyperlink"/>
          </w:rPr>
          <w:t>http://support.huawei.com/enterprise/</w:t>
        </w:r>
      </w:hyperlink>
      <w:r>
        <w:t xml:space="preserve"> to access the page for the required patch.</w:t>
      </w:r>
    </w:p>
    <w:p>
      <w:pPr>
        <w:pStyle w:val="Step"/>
      </w:pPr>
      <w:r>
        <w:t xml:space="preserve">Go to </w:t>
      </w:r>
      <w:hyperlink r:id="rId27" w:tooltip=" " w:history="1">
        <w:r>
          <w:rPr>
            <w:rStyle w:val="Hyperlink"/>
          </w:rPr>
          <w:t>http://support.huawei.com</w:t>
        </w:r>
      </w:hyperlink>
      <w:r>
        <w:t xml:space="preserve"> to access the page for the required patch.</w:t>
      </w:r>
    </w:p>
    <w:p>
      <w:pPr>
        <w:pStyle w:val="Step"/>
      </w:pPr>
      <w:r>
        <w:t>Download the patch package and patch release notes.</w:t>
      </w:r>
    </w:p>
    <w:p>
      <w:pPr>
        <w:pStyle w:val="End"/>
      </w:pPr>
      <w:r>
        <w:t>----End</w:t>
      </w:r>
    </w:p>
    <w:bookmarkStart w:id="13" w:name="_EN-US_TOPIC_0000001431939190"/>
    <w:bookmarkEnd w:id="13"/>
    <w:p>
      <w:pPr>
        <w:pStyle w:val="Heading2"/>
      </w:pPr>
      <w:bookmarkStart w:id="14" w:name="_EN-US_TOPIC_0000001431939190-chtext"/>
      <w:bookmarkStart w:id="15" w:name="_Toc256000004"/>
      <w:r>
        <w:t>Verifying Software Integrity</w:t>
      </w:r>
      <w:bookmarkEnd w:id="15"/>
      <w:bookmarkEnd w:id="14"/>
    </w:p>
    <w:p>
      <w:pPr>
        <w:pStyle w:val="BlockLabel"/>
      </w:pPr>
      <w:r>
        <w:t>Using the OpenPGP Tool to Verify Integrity of a File</w:t>
      </w:r>
    </w:p>
    <w:p>
      <w:r>
        <w:t>To prevent a software package from being maliciously tampered with during transmission or storage, download the corresponding digital signature file for integrity verification when downloading the software package.</w:t>
      </w:r>
    </w:p>
    <w:p>
      <w:r>
        <w:t xml:space="preserve">After the software package is downloaded, verify its PGP digital signature according to the </w:t>
      </w:r>
      <w:r>
        <w:rPr>
          <w:i/>
        </w:rPr>
        <w:t>OpenPGP Signature Verification Guide</w:t>
      </w:r>
      <w:r>
        <w:t>. If the software package fails the verification, do not use the software package, and contact Huawei technical support engineers.</w:t>
      </w:r>
    </w:p>
    <w:p>
      <w:r>
        <w:t xml:space="preserve">Before a software package is used in installation or upgrade, its digital signature also needs to be verified according to the </w:t>
      </w:r>
      <w:r>
        <w:rPr>
          <w:i/>
        </w:rPr>
        <w:t>OpenPGP Signature Verification Guide</w:t>
      </w:r>
      <w:r>
        <w:t xml:space="preserve"> to ensure that the software package is not tampered with.</w:t>
      </w:r>
    </w:p>
    <w:p>
      <w:r>
        <w:t xml:space="preserve">Visit either of the following websites to obtain the </w:t>
      </w:r>
      <w:r>
        <w:rPr>
          <w:i/>
        </w:rPr>
        <w:t>OpenPGP Signature Verification Guide</w:t>
      </w:r>
      <w:r>
        <w:t>:</w:t>
      </w:r>
    </w:p>
    <w:p>
      <w:hyperlink r:id="rId28" w:tooltip=" " w:history="1">
        <w:r>
          <w:rPr>
            <w:rStyle w:val="Hyperlink"/>
          </w:rPr>
          <w:t>https:</w:t>
        </w:r>
      </w:hyperlink>
      <w:hyperlink r:id="rId28" w:tooltip=" " w:history="1">
        <w:r>
          <w:rPr>
            <w:rStyle w:val="Hyperlink"/>
          </w:rPr>
          <w:t>//support.huawei.com/enterprise/en/tool/pgp-verify-TL1000000054</w:t>
        </w:r>
      </w:hyperlink>
    </w:p>
    <w:p>
      <w:hyperlink r:id="rId29" w:tooltip=" " w:history="1">
        <w:r>
          <w:rPr>
            <w:rStyle w:val="Hyperlink"/>
          </w:rPr>
          <w:t>https://support.huawei.com/carrier/digitalSignatureAction</w:t>
        </w:r>
      </w:hyperlink>
    </w:p>
    <w:bookmarkStart w:id="16" w:name="_EN-US_TOPIC_0000001481775693"/>
    <w:bookmarkEnd w:id="16"/>
    <w:p>
      <w:pPr>
        <w:pStyle w:val="Heading2"/>
      </w:pPr>
      <w:bookmarkStart w:id="17" w:name="_EN-US_TOPIC_0000001481775693-chtext"/>
      <w:bookmarkStart w:id="18" w:name="_Toc256000005"/>
      <w:r>
        <w:t>Checking the Current Version</w:t>
      </w:r>
      <w:bookmarkEnd w:id="18"/>
      <w:bookmarkEnd w:id="17"/>
    </w:p>
    <w:p>
      <w:pPr>
        <w:pStyle w:val="BlockLabel"/>
      </w:pPr>
      <w:r>
        <w:t>CLI</w:t>
      </w:r>
    </w:p>
    <w:p>
      <w:pPr>
        <w:pStyle w:val="TerminalDisplay"/>
      </w:pPr>
      <w:r>
        <w:t xml:space="preserve">&lt;AC&gt; </w:t>
      </w:r>
      <w:r>
        <w:rPr>
          <w:b/>
        </w:rPr>
        <w:t>display version</w:t>
      </w:r>
      <w:r>
        <w:t xml:space="preserve"> </w:t>
        <w:br/>
        <w:t xml:space="preserve">Huawei Versatile Routing Platform Software </w:t>
        <w:br/>
        <w:t>VRP (R) software, Version 5.170 (</w:t>
      </w:r>
      <w:r>
        <w:rPr>
          <w:b/>
        </w:rPr>
        <w:t>AirEngine 9700-M</w:t>
      </w:r>
      <w:r>
        <w:rPr>
          <w:b/>
        </w:rPr>
        <w:t xml:space="preserve"> </w:t>
      </w:r>
      <w:r>
        <w:rPr>
          <w:b/>
        </w:rPr>
        <w:t>V200R022C00SPC100</w:t>
      </w:r>
      <w:r>
        <w:t xml:space="preserve">) </w:t>
        <w:br/>
        <w:t xml:space="preserve">Copyright (C) 2011-2022 HUAWEI TECH CO., LTD </w:t>
        <w:br/>
        <w:t xml:space="preserve">Huawei AirEngine9700-M Router uptime is 0 week, 2 days, 0 hour, 55 minutes </w:t>
        <w:br/>
        <w:t xml:space="preserve"> </w:t>
        <w:br/>
        <w:t xml:space="preserve">MPU 0(Master) : uptime is 0 week, 2 days, 0 hour, 55 minutes </w:t>
        <w:br/>
        <w:t xml:space="preserve">SDRAM Memory Size    : 16384   M bytes </w:t>
        <w:br/>
        <w:t xml:space="preserve">Flash Memory Size    : 2048    M bytes </w:t>
        <w:br/>
        <w:t xml:space="preserve">MPU version information : </w:t>
        <w:br/>
        <w:t xml:space="preserve">1. PCB      Version  : H852V26S VER.A </w:t>
        <w:br/>
        <w:t xml:space="preserve">2. MAB      Version  : 2 </w:t>
        <w:br/>
        <w:t xml:space="preserve">3. Board    Type     : </w:t>
      </w:r>
      <w:r>
        <w:t>AirEngine 9700-M</w:t>
      </w:r>
      <w:r>
        <w:t xml:space="preserve"> </w:t>
        <w:br/>
        <w:t xml:space="preserve">4. CPLD0    Version  : 273 </w:t>
        <w:br/>
        <w:t xml:space="preserve">5. CPLD1    Version  : 277 </w:t>
        <w:br/>
        <w:t xml:space="preserve">6. CPLD2    Version  : 273 </w:t>
        <w:br/>
        <w:t xml:space="preserve">7. BootROM  Version  : 1106 </w:t>
        <w:br/>
        <w:t xml:space="preserve"> </w:t>
        <w:br/>
        <w:t xml:space="preserve">PWRCARD I information </w:t>
        <w:br/>
        <w:t>PCB      Version : PWR VER  VER.NC</w:t>
      </w:r>
    </w:p>
    <w:p>
      <w:pPr>
        <w:pStyle w:val="BlockLabel"/>
      </w:pPr>
      <w:r>
        <w:t>Web System</w:t>
      </w:r>
    </w:p>
    <w:p>
      <w:r>
        <w:t>Log in to the AC web system and choose</w:t>
      </w:r>
      <w:r>
        <w:rPr>
          <w:b/>
        </w:rPr>
        <w:t xml:space="preserve"> </w:t>
      </w:r>
      <w:r>
        <w:rPr>
          <w:b/>
        </w:rPr>
        <w:t>Monitoring</w:t>
      </w:r>
      <w:r>
        <w:t xml:space="preserve"> &gt; </w:t>
      </w:r>
      <w:r>
        <w:rPr>
          <w:b/>
        </w:rPr>
        <w:t>AC</w:t>
      </w:r>
      <w:r>
        <w:t xml:space="preserve">. The </w:t>
      </w:r>
      <w:r>
        <w:rPr>
          <w:b/>
        </w:rPr>
        <w:t>AC</w:t>
      </w:r>
      <w:r>
        <w:t xml:space="preserve"> page is displayed. In the </w:t>
      </w:r>
      <w:r>
        <w:rPr>
          <w:b/>
        </w:rPr>
        <w:t>AC Basic Information</w:t>
      </w:r>
      <w:r>
        <w:t xml:space="preserve"> area, check the running version of the device.</w:t>
      </w:r>
    </w:p>
    <w:p>
      <w:r>
        <w:pict>
          <v:shape id="_x0000_i1029" type="#_x0000_t75" style="width:0.75pt;height:0.75pt">
            <v:imagedata r:id="rId30" o:title=""/>
          </v:shape>
        </w:pict>
      </w:r>
    </w:p>
    <w:bookmarkStart w:id="19" w:name="_EN-US_TOPIC_0000001481975957"/>
    <w:bookmarkEnd w:id="19"/>
    <w:p>
      <w:pPr>
        <w:pStyle w:val="Heading2"/>
      </w:pPr>
      <w:bookmarkStart w:id="20" w:name="_EN-US_TOPIC_0000001481975957-chtext"/>
      <w:bookmarkStart w:id="21" w:name="_Toc256000006"/>
      <w:r>
        <w:t>Collecting Device Diagnostic Information</w:t>
      </w:r>
      <w:bookmarkEnd w:id="21"/>
      <w:bookmarkEnd w:id="20"/>
    </w:p>
    <w:p>
      <w:pPr>
        <w:pStyle w:val="TableDescription"/>
      </w:pPr>
      <w:r>
        <w:t>Required information</w:t>
      </w:r>
    </w:p>
    <w:tbl>
      <w:tblPr>
        <w:tblStyle w:val="Table"/>
        <w:tblW w:w="7938" w:type="dxa"/>
        <w:tblInd w:w="1814" w:type="dxa"/>
        <w:tblLayout w:type="fixed"/>
        <w:tblLook w:val="01E0"/>
      </w:tblPr>
      <w:tblGrid>
        <w:gridCol w:w="1440"/>
        <w:gridCol w:w="1440"/>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2500" w:type="pct"/>
            <w:tcBorders>
              <w:top w:val="single" w:sz="6" w:space="0" w:color="000000"/>
              <w:bottom w:val="single" w:sz="6" w:space="0" w:color="000000"/>
            </w:tcBorders>
            <w:shd w:val="clear" w:color="auto" w:fill="D9D9D9"/>
          </w:tcPr>
          <w:p>
            <w:pPr>
              <w:pStyle w:val="TableHeading"/>
            </w:pPr>
            <w:r>
              <w:t>Purpose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AirEngine 9700-M</w:t>
            </w:r>
            <w:r>
              <w:t xml:space="preserve"> running status</w:t>
            </w:r>
          </w:p>
        </w:tc>
        <w:tc>
          <w:tcPr>
            <w:tcW w:w="2500" w:type="pct"/>
            <w:tcBorders>
              <w:top w:val="single" w:sz="6" w:space="0" w:color="000000"/>
              <w:bottom w:val="single" w:sz="6" w:space="0" w:color="000000"/>
            </w:tcBorders>
          </w:tcPr>
          <w:p>
            <w:pPr>
              <w:pStyle w:val="TableText"/>
            </w:pPr>
            <w:r>
              <w:t xml:space="preserve">Check whether the </w:t>
            </w:r>
            <w:r>
              <w:t>AirEngine 9700-M</w:t>
            </w:r>
            <w:r>
              <w:t xml:space="preserve"> works properly.</w:t>
            </w:r>
          </w:p>
        </w:tc>
      </w:tr>
    </w:tbl>
    <w:p/>
    <w:p>
      <w:pPr>
        <w:pStyle w:val="BlockLabel"/>
      </w:pPr>
      <w:r>
        <w:t>CLI</w:t>
      </w:r>
    </w:p>
    <w:p>
      <w:pPr>
        <w:pStyle w:val="ItemStep"/>
        <w:numPr>
          <w:ilvl w:val="0"/>
          <w:numId w:val="42"/>
        </w:numPr>
      </w:pPr>
      <w:r>
        <w:t xml:space="preserve">Run the </w:t>
      </w:r>
      <w:r>
        <w:rPr>
          <w:b/>
        </w:rPr>
        <w:t>display diagnostic-information</w:t>
      </w:r>
      <w:r>
        <w:t xml:space="preserve"> </w:t>
      </w:r>
      <w:r>
        <w:rPr>
          <w:b/>
        </w:rPr>
        <w:t>saved-file</w:t>
      </w:r>
      <w:r>
        <w:t xml:space="preserve"> command to save diagnostic information to a file. If no file name is specified, the system automatically saves the file as </w:t>
      </w:r>
      <w:r>
        <w:rPr>
          <w:b/>
        </w:rPr>
        <w:t>diagnostic-information.txt</w:t>
      </w:r>
      <w:r>
        <w:t>.</w:t>
      </w:r>
    </w:p>
    <w:p>
      <w:pPr>
        <w:pStyle w:val="ItemlistTextTD"/>
      </w:pPr>
      <w:r>
        <w:t>&lt;AC&gt;</w:t>
      </w:r>
      <w:r>
        <w:rPr>
          <w:b/>
        </w:rPr>
        <w:t xml:space="preserve"> </w:t>
      </w:r>
      <w:r>
        <w:rPr>
          <w:b/>
        </w:rPr>
        <w:t>display diagnostic-information</w:t>
      </w:r>
      <w:r>
        <w:t xml:space="preserve"> </w:t>
      </w:r>
      <w:r>
        <w:rPr>
          <w:b/>
        </w:rPr>
        <w:t>saved-file</w:t>
      </w:r>
      <w:r>
        <w:t xml:space="preserve"> </w:t>
        <w:br/>
        <w:t xml:space="preserve">  Begin to save file ,this operation will take several minutes, please wait..... </w:t>
        <w:br/>
        <w:t xml:space="preserve">.............................................  </w:t>
        <w:br/>
        <w:t>Info: The diagnostic information was saved to the device successfully.</w:t>
      </w:r>
    </w:p>
    <w:p>
      <w:pPr>
        <w:pStyle w:val="ItemStep"/>
        <w:numPr>
          <w:ilvl w:val="0"/>
          <w:numId w:val="42"/>
        </w:numPr>
      </w:pPr>
      <w:r>
        <w:t>Download the diagnosis information file to the local PC through FTP or SFTP.</w:t>
      </w:r>
    </w:p>
    <w:p>
      <w:pPr>
        <w:pStyle w:val="BlockLabel"/>
      </w:pPr>
      <w:r>
        <w:t>Web System</w:t>
      </w:r>
    </w:p>
    <w:p>
      <w:pPr>
        <w:pStyle w:val="ItemStep"/>
        <w:numPr>
          <w:ilvl w:val="0"/>
          <w:numId w:val="43"/>
        </w:numPr>
      </w:pPr>
      <w:r>
        <w:t xml:space="preserve">Log in to the AC and choose </w:t>
      </w:r>
      <w:r>
        <w:rPr>
          <w:b/>
        </w:rPr>
        <w:t>Diagnosis</w:t>
      </w:r>
      <w:r>
        <w:t xml:space="preserve"> &gt; </w:t>
      </w:r>
      <w:r>
        <w:rPr>
          <w:b/>
        </w:rPr>
        <w:t>One-Click Information Collection</w:t>
      </w:r>
      <w:r>
        <w:t xml:space="preserve">. The </w:t>
      </w:r>
      <w:r>
        <w:rPr>
          <w:b/>
        </w:rPr>
        <w:t>One-Click Information Collection</w:t>
      </w:r>
      <w:r>
        <w:t xml:space="preserve"> page is displayed.</w:t>
      </w:r>
    </w:p>
    <w:p>
      <w:pPr>
        <w:pStyle w:val="ItemStep"/>
        <w:numPr>
          <w:ilvl w:val="0"/>
          <w:numId w:val="43"/>
        </w:numPr>
      </w:pPr>
      <w:r>
        <w:t xml:space="preserve">Select </w:t>
      </w:r>
      <w:r>
        <w:rPr>
          <w:b/>
        </w:rPr>
        <w:t>AC</w:t>
      </w:r>
      <w:r>
        <w:t xml:space="preserve"> and </w:t>
      </w:r>
      <w:r>
        <w:rPr>
          <w:b/>
        </w:rPr>
        <w:t>One-click diagnostic info</w:t>
      </w:r>
      <w:r>
        <w:t xml:space="preserve">, and click </w:t>
      </w:r>
      <w:r>
        <w:rPr>
          <w:b/>
        </w:rPr>
        <w:t>Collect</w:t>
      </w:r>
      <w:r>
        <w:t>.</w:t>
      </w:r>
    </w:p>
    <w:p>
      <w:pPr>
        <w:pStyle w:val="ItemListText"/>
      </w:pPr>
      <w:r>
        <w:pict>
          <v:shape id="_x0000_i1030" type="#_x0000_t75" style="width:393.75pt;height:97.5pt">
            <v:imagedata r:id="rId31" o:title=""/>
          </v:shape>
        </w:pict>
      </w:r>
    </w:p>
    <w:p>
      <w:pPr>
        <w:pStyle w:val="ItemStep"/>
        <w:numPr>
          <w:ilvl w:val="0"/>
          <w:numId w:val="43"/>
        </w:numPr>
      </w:pPr>
      <w:r>
        <w:t xml:space="preserve">In the dialog box that is displayed, click </w:t>
      </w:r>
      <w:r>
        <w:rPr>
          <w:b/>
        </w:rPr>
        <w:t>OK</w:t>
      </w:r>
      <w:r>
        <w:t>. The system starts to collect information. After the collection is complete, save the file to the local PC as prompted.</w:t>
      </w:r>
    </w:p>
    <w:bookmarkStart w:id="22" w:name="_EN-US_TOPIC_0000001482215477"/>
    <w:bookmarkEnd w:id="22"/>
    <w:p>
      <w:pPr>
        <w:pStyle w:val="Heading2"/>
      </w:pPr>
      <w:bookmarkStart w:id="23" w:name="_EN-US_TOPIC_0000001482215477-chtext"/>
      <w:bookmarkStart w:id="24" w:name="_Toc256000007"/>
      <w:r>
        <w:t>Backing Up Configuration</w:t>
      </w:r>
      <w:bookmarkEnd w:id="24"/>
      <w:bookmarkEnd w:id="23"/>
    </w:p>
    <w:p>
      <w:pPr>
        <w:pStyle w:val="BlockLabel"/>
      </w:pPr>
      <w:r>
        <w:t>CLI</w:t>
      </w:r>
    </w:p>
    <w:p>
      <w:pPr>
        <w:pStyle w:val="ItemStep"/>
        <w:numPr>
          <w:ilvl w:val="0"/>
          <w:numId w:val="44"/>
        </w:numPr>
      </w:pPr>
      <w:r>
        <w:t>Save the system configuration.</w:t>
      </w:r>
    </w:p>
    <w:p>
      <w:pPr>
        <w:pStyle w:val="ItemlistTextTD"/>
      </w:pPr>
      <w:r>
        <w:t xml:space="preserve">&lt;AC&gt; </w:t>
      </w:r>
      <w:r>
        <w:rPr>
          <w:b/>
        </w:rPr>
        <w:t>save</w:t>
      </w:r>
      <w:r>
        <w:t xml:space="preserve"> </w:t>
        <w:br/>
        <w:t xml:space="preserve">The current configuration will be written to the device. </w:t>
        <w:br/>
        <w:t xml:space="preserve">  Are you sure to continue? (y/n)[n]:</w:t>
      </w:r>
      <w:r>
        <w:rPr>
          <w:b/>
        </w:rPr>
        <w:t>y</w:t>
      </w:r>
      <w:r>
        <w:t xml:space="preserve"> </w:t>
        <w:br/>
        <w:t xml:space="preserve">  It will take several minutes to save configuration file, please wait....... </w:t>
        <w:br/>
        <w:t xml:space="preserve">  Configuration file had been saved successfully </w:t>
        <w:br/>
        <w:t xml:space="preserve">  Note: The configuration file will take effect after being activated</w:t>
      </w:r>
    </w:p>
    <w:p>
      <w:pPr>
        <w:pStyle w:val="ItemStep"/>
        <w:numPr>
          <w:ilvl w:val="0"/>
          <w:numId w:val="44"/>
        </w:numPr>
      </w:pPr>
      <w:r>
        <w:t>Back up the configuration file.</w:t>
      </w:r>
    </w:p>
    <w:p>
      <w:pPr>
        <w:pStyle w:val="ItemListText"/>
      </w:pPr>
      <w:r>
        <w:t>Check the current configuration file.</w:t>
      </w:r>
    </w:p>
    <w:p>
      <w:pPr>
        <w:pStyle w:val="ItemlistTextTD"/>
      </w:pPr>
      <w:r>
        <w:t>&lt;AC&gt;</w:t>
      </w:r>
      <w:r>
        <w:rPr>
          <w:b/>
        </w:rPr>
        <w:t xml:space="preserve"> display startup</w:t>
      </w:r>
      <w:r>
        <w:t xml:space="preserve"> </w:t>
        <w:br/>
        <w:t xml:space="preserve">  Configed startup system software:          flash:/</w:t>
      </w:r>
      <w:r>
        <w:t>AirEngine9700-M</w:t>
      </w:r>
      <w:r>
        <w:t>_</w:t>
      </w:r>
      <w:r>
        <w:t>V200R022C00SPC100</w:t>
      </w:r>
      <w:r>
        <w:t xml:space="preserve">.cc  </w:t>
        <w:br/>
        <w:t xml:space="preserve">  Startup system software:                   flash:/</w:t>
      </w:r>
      <w:r>
        <w:t>AirEngine9700-M</w:t>
      </w:r>
      <w:r>
        <w:t>_</w:t>
      </w:r>
      <w:r>
        <w:t>V200R022C00SPC100</w:t>
      </w:r>
      <w:r>
        <w:t xml:space="preserve">.cc  </w:t>
        <w:br/>
        <w:t xml:space="preserve">  Next startup system software:              flash:/</w:t>
      </w:r>
      <w:r>
        <w:t>AirEngine9700-M</w:t>
      </w:r>
      <w:r>
        <w:t>_</w:t>
      </w:r>
      <w:r>
        <w:t>V200R022C00SPC100</w:t>
      </w:r>
      <w:r>
        <w:t xml:space="preserve">.cc  </w:t>
        <w:br/>
        <w:t xml:space="preserve">  Startup saved-configuration file:          flash:/vrpcfg.zip </w:t>
        <w:br/>
        <w:t xml:space="preserve">  Next startup saved-configuration file:     flash:/vrpcfg.zip </w:t>
        <w:br/>
        <w:t xml:space="preserve">  Startup patch package:                     NULL  </w:t>
        <w:br/>
        <w:t xml:space="preserve">  Next startup patch package:                NULL</w:t>
      </w:r>
    </w:p>
    <w:p>
      <w:pPr>
        <w:pStyle w:val="ItemListText"/>
      </w:pPr>
      <w:r>
        <w:t>Upload the configuration file to the TFTP server.</w:t>
      </w:r>
    </w:p>
    <w:p>
      <w:pPr>
        <w:pStyle w:val="ItemlistTextTD"/>
      </w:pPr>
      <w:r>
        <w:t>&lt;AC&gt;</w:t>
      </w:r>
      <w:r>
        <w:rPr>
          <w:b/>
        </w:rPr>
        <w:t xml:space="preserve"> tftp 192.168.0.2 put vrpcfg.zip</w:t>
      </w:r>
      <w:r>
        <w:t xml:space="preserve"> </w:t>
        <w:br/>
        <w:t xml:space="preserve">Info: Transfer file in binary mode. </w:t>
        <w:br/>
        <w:t xml:space="preserve">                Uploading the file to the remote TFTP server. Please wait... </w:t>
        <w:br/>
        <w:t xml:space="preserve">100% </w:t>
        <w:br/>
        <w:t>TFTP: Uploading the file successfully.</w:t>
      </w:r>
    </w:p>
    <w:p>
      <w:pPr>
        <w:pStyle w:val="ItemListText"/>
      </w:pPr>
      <w:r>
        <w:rPr>
          <w:b/>
        </w:rPr>
        <w:t>----End</w:t>
      </w:r>
    </w:p>
    <w:p>
      <w:pPr>
        <w:pStyle w:val="BlockLabel"/>
      </w:pPr>
      <w:r>
        <w:t>Web System</w:t>
      </w:r>
    </w:p>
    <w:p>
      <w:pPr>
        <w:pStyle w:val="Step"/>
        <w:numPr>
          <w:numId w:val="65"/>
        </w:numPr>
      </w:pPr>
      <w:r>
        <w:t xml:space="preserve">Log in to the AC web system and click </w:t>
      </w:r>
      <w:r>
        <w:rPr>
          <w:b/>
        </w:rPr>
        <w:t>Save</w:t>
      </w:r>
      <w:r>
        <w:t xml:space="preserve"> in the upper right corner of the page to save the current device configuration.</w:t>
      </w:r>
    </w:p>
    <w:p>
      <w:r>
        <w:pict>
          <v:shape id="_x0000_i1031" type="#_x0000_t75" style="width:354.96pt;height:55.44pt">
            <v:imagedata r:id="rId32" o:title=""/>
          </v:shape>
        </w:pict>
      </w:r>
    </w:p>
    <w:p>
      <w:pPr>
        <w:pStyle w:val="Step"/>
      </w:pPr>
      <w:r>
        <w:t xml:space="preserve">Choose </w:t>
      </w:r>
      <w:r>
        <w:rPr>
          <w:b/>
        </w:rPr>
        <w:t>Maintenance</w:t>
      </w:r>
      <w:r>
        <w:t xml:space="preserve"> &gt; </w:t>
      </w:r>
      <w:r>
        <w:rPr>
          <w:b/>
        </w:rPr>
        <w:t>Device Upgrade</w:t>
      </w:r>
      <w:r>
        <w:t xml:space="preserve"> &gt; </w:t>
      </w:r>
      <w:r>
        <w:rPr>
          <w:b/>
        </w:rPr>
        <w:t>AC Upgrade</w:t>
      </w:r>
      <w:r>
        <w:t xml:space="preserve">. The </w:t>
      </w:r>
      <w:r>
        <w:rPr>
          <w:b/>
        </w:rPr>
        <w:t>AC Upgrade</w:t>
      </w:r>
      <w:r>
        <w:t xml:space="preserve"> page is displayed. Click </w:t>
      </w:r>
      <w:r>
        <w:rPr>
          <w:b/>
        </w:rPr>
        <w:t>Export Startup Files</w:t>
      </w:r>
      <w:r>
        <w:t xml:space="preserve"> and save the configuration file to the local PC as prompted.</w:t>
      </w:r>
    </w:p>
    <w:p>
      <w:r>
        <w:pict>
          <v:shape id="_x0000_i1032" type="#_x0000_t75" style="width:393.75pt;height:161.25pt">
            <v:imagedata r:id="rId33" o:title=""/>
          </v:shape>
        </w:pict>
      </w:r>
    </w:p>
    <w:p>
      <w:pPr>
        <w:pStyle w:val="End"/>
      </w:pPr>
      <w:r>
        <w:t>----End</w:t>
      </w:r>
    </w:p>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25" w:name="_EN-US_TOPIC_0000001432099166"/>
    <w:bookmarkEnd w:id="25"/>
    <w:p>
      <w:pPr>
        <w:pStyle w:val="Heading1"/>
      </w:pPr>
      <w:bookmarkStart w:id="26" w:name="_EN-US_TOPIC_0000001432099166-chtext"/>
      <w:bookmarkStart w:id="27" w:name="_Toc256000008"/>
      <w:r>
        <w:t>Installing Patches (Local Mode)</w:t>
      </w:r>
      <w:bookmarkEnd w:id="27"/>
      <w:bookmarkEnd w:id="26"/>
    </w:p>
    <w:bookmarkStart w:id="28" w:name="_EN-US_TOPIC_0000001481975965"/>
    <w:bookmarkEnd w:id="28"/>
    <w:p>
      <w:pPr>
        <w:pStyle w:val="Heading2"/>
        <w:numPr>
          <w:numId w:val="54"/>
        </w:numPr>
      </w:pPr>
      <w:bookmarkStart w:id="29" w:name="_EN-US_TOPIC_0000001481975965-chtext"/>
      <w:bookmarkStart w:id="30" w:name="_Toc256000009"/>
      <w:r>
        <w:t>Patch Installation Process</w:t>
      </w:r>
      <w:bookmarkEnd w:id="30"/>
      <w:bookmarkEnd w:id="29"/>
    </w:p>
    <w:p>
      <w:r>
        <w:fldChar w:fldCharType="begin"/>
      </w:r>
      <w:r>
        <w:instrText>REF _table51595365 \r \h</w:instrText>
      </w:r>
      <w:r>
        <w:fldChar w:fldCharType="separate"/>
      </w:r>
      <w:r>
        <w:t>Table 3-1</w:t>
      </w:r>
      <w:r>
        <w:fldChar w:fldCharType="end"/>
      </w:r>
      <w:r>
        <w:t xml:space="preserve"> describes the patch installation process.</w:t>
      </w:r>
    </w:p>
    <w:bookmarkStart w:id="31" w:name="_table51595365"/>
    <w:bookmarkEnd w:id="31"/>
    <w:p>
      <w:pPr>
        <w:pStyle w:val="TableDescription"/>
      </w:pPr>
      <w:r>
        <w:t>Patch installation process</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666" w:type="pct"/>
            <w:tcBorders>
              <w:top w:val="single" w:sz="6" w:space="0" w:color="000000"/>
              <w:bottom w:val="single" w:sz="6" w:space="0" w:color="000000"/>
              <w:right w:val="single" w:sz="6" w:space="0" w:color="000000"/>
            </w:tcBorders>
            <w:shd w:val="clear" w:color="auto" w:fill="D9D9D9"/>
          </w:tcPr>
          <w:p>
            <w:pPr>
              <w:pStyle w:val="TableHeading"/>
            </w:pPr>
            <w:r>
              <w:t>Stage</w:t>
            </w:r>
          </w:p>
        </w:tc>
        <w:tc>
          <w:tcPr>
            <w:tcW w:w="1666"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666" w:type="pct"/>
            <w:tcBorders>
              <w:top w:val="single" w:sz="6" w:space="0" w:color="000000"/>
              <w:bottom w:val="single" w:sz="6" w:space="0" w:color="000000"/>
            </w:tcBorders>
            <w:shd w:val="clear" w:color="auto" w:fill="D9D9D9"/>
          </w:tcPr>
          <w:p>
            <w:pPr>
              <w:pStyle w:val="TableHeading"/>
            </w:pPr>
            <w:r>
              <w:t>Time Required    (Minutes)</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Load the patch package</w:t>
            </w:r>
          </w:p>
        </w:tc>
        <w:tc>
          <w:tcPr>
            <w:tcW w:w="1666" w:type="pct"/>
            <w:tcBorders>
              <w:top w:val="single" w:sz="6" w:space="0" w:color="000000"/>
              <w:bottom w:val="single" w:sz="6" w:space="0" w:color="000000"/>
              <w:right w:val="single" w:sz="6" w:space="0" w:color="000000"/>
            </w:tcBorders>
          </w:tcPr>
          <w:p>
            <w:pPr>
              <w:pStyle w:val="TableText"/>
            </w:pPr>
            <w:r>
              <w:t>00:00</w:t>
            </w:r>
          </w:p>
        </w:tc>
        <w:tc>
          <w:tcPr>
            <w:tcW w:w="1666" w:type="pct"/>
            <w:tcBorders>
              <w:top w:val="single" w:sz="6" w:space="0" w:color="000000"/>
              <w:bottom w:val="single" w:sz="6" w:space="0" w:color="000000"/>
            </w:tcBorders>
          </w:tcPr>
          <w:p>
            <w:pPr>
              <w:pStyle w:val="TableText"/>
            </w:pPr>
            <w:r>
              <w:t>&lt; 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Active the patch package</w:t>
            </w:r>
          </w:p>
        </w:tc>
        <w:tc>
          <w:tcPr>
            <w:tcW w:w="1666" w:type="pct"/>
            <w:tcBorders>
              <w:top w:val="single" w:sz="6" w:space="0" w:color="000000"/>
              <w:bottom w:val="single" w:sz="6" w:space="0" w:color="000000"/>
              <w:right w:val="single" w:sz="6" w:space="0" w:color="000000"/>
            </w:tcBorders>
          </w:tcPr>
          <w:p>
            <w:pPr>
              <w:pStyle w:val="TableText"/>
            </w:pPr>
            <w:r>
              <w:t>00:10</w:t>
            </w:r>
          </w:p>
        </w:tc>
        <w:tc>
          <w:tcPr>
            <w:tcW w:w="1666" w:type="pct"/>
            <w:tcBorders>
              <w:top w:val="single" w:sz="6" w:space="0" w:color="000000"/>
              <w:bottom w:val="single" w:sz="6" w:space="0" w:color="000000"/>
            </w:tcBorders>
          </w:tcPr>
          <w:p>
            <w:pPr>
              <w:pStyle w:val="TableText"/>
            </w:pPr>
            <w:r>
              <w:t>&lt; 10</w:t>
            </w:r>
          </w:p>
        </w:tc>
      </w:tr>
    </w:tbl>
    <w:p/>
    <w:bookmarkStart w:id="32" w:name="_EN-US_TOPIC_0000001482135413"/>
    <w:bookmarkEnd w:id="32"/>
    <w:p>
      <w:pPr>
        <w:pStyle w:val="Heading2"/>
      </w:pPr>
      <w:bookmarkStart w:id="33" w:name="_EN-US_TOPIC_0000001482135413-chtext"/>
      <w:bookmarkStart w:id="34" w:name="_Toc256000010"/>
      <w:r>
        <w:t>Loading and Activating a Patch Package</w:t>
      </w:r>
      <w:bookmarkEnd w:id="34"/>
      <w:bookmarkEnd w:id="33"/>
    </w:p>
    <w:p>
      <w:pPr>
        <w:pStyle w:val="BlockLabel"/>
      </w:pPr>
      <w:r>
        <w:t>CLI</w:t>
      </w:r>
    </w:p>
    <w:p>
      <w:pPr>
        <w:pStyle w:val="Step"/>
        <w:numPr>
          <w:numId w:val="66"/>
        </w:numPr>
      </w:pPr>
      <w:r>
        <w:t>Load the patch package.</w:t>
      </w:r>
    </w:p>
    <w:p>
      <w:pPr>
        <w:pStyle w:val="TerminalDisplay"/>
      </w:pPr>
      <w:r>
        <w:t>&lt;AC&gt;</w:t>
      </w:r>
      <w:r>
        <w:rPr>
          <w:b/>
        </w:rPr>
        <w:t xml:space="preserve"> tftp 192.168.0.2 get </w:t>
      </w:r>
      <w:r>
        <w:rPr>
          <w:b/>
        </w:rPr>
        <w:t>AirEngine9700-M</w:t>
      </w:r>
      <w:r>
        <w:rPr>
          <w:b/>
        </w:rPr>
        <w:t>_</w:t>
      </w:r>
      <w:r>
        <w:rPr>
          <w:b/>
        </w:rPr>
        <w:t>V200R022C00SPH001</w:t>
      </w:r>
      <w:r>
        <w:rPr>
          <w:b/>
        </w:rPr>
        <w:t>.pat</w:t>
      </w:r>
      <w:r>
        <w:t xml:space="preserve"> </w:t>
        <w:br/>
        <w:t xml:space="preserve">Info: Transfer file in binary mode. </w:t>
        <w:br/>
        <w:t xml:space="preserve">Downloading the file from the remote TFTP server. Please wait... </w:t>
        <w:br/>
        <w:t xml:space="preserve">| </w:t>
        <w:br/>
        <w:t xml:space="preserve">  26228 bytes received in 1 second. </w:t>
        <w:br/>
        <w:t xml:space="preserve">TFTP: Downloading the file successfully. </w:t>
        <w:br/>
        <w:t xml:space="preserve">Now begins to save file, please wait... </w:t>
        <w:br/>
        <w:t>File had been saved successfully.</w:t>
      </w:r>
    </w:p>
    <w:p>
      <w:pPr>
        <w:pStyle w:val="Step"/>
      </w:pPr>
      <w:r>
        <w:t>Activating the patch</w:t>
      </w:r>
    </w:p>
    <w:p>
      <w:pPr>
        <w:pStyle w:val="TerminalDisplay"/>
      </w:pPr>
      <w:r>
        <w:t>&lt;AC&gt;</w:t>
      </w:r>
      <w:r>
        <w:rPr>
          <w:b/>
        </w:rPr>
        <w:t xml:space="preserve"> patch load </w:t>
      </w:r>
      <w:r>
        <w:rPr>
          <w:b/>
        </w:rPr>
        <w:t>AirEngine9700-M</w:t>
      </w:r>
      <w:r>
        <w:rPr>
          <w:b/>
        </w:rPr>
        <w:t>_</w:t>
      </w:r>
      <w:r>
        <w:rPr>
          <w:b/>
        </w:rPr>
        <w:t>V200R022C00SPH001</w:t>
      </w:r>
      <w:r>
        <w:rPr>
          <w:b/>
        </w:rPr>
        <w:t>.pat all run</w:t>
      </w:r>
      <w:r>
        <w:t xml:space="preserve"> </w:t>
        <w:br/>
        <w:t xml:space="preserve">Info: The patch is being runned. Please wait for a moment...... </w:t>
        <w:br/>
        <w:t xml:space="preserve">Info: Succeeded in running the patch. </w:t>
        <w:br/>
        <w:t>Info: Finished loading the patch.</w:t>
      </w:r>
    </w:p>
    <w:p>
      <w:pPr>
        <w:pStyle w:val="End"/>
      </w:pPr>
      <w:r>
        <w:t>----End</w:t>
      </w:r>
    </w:p>
    <w:p>
      <w:pPr>
        <w:pStyle w:val="BlockLabel"/>
      </w:pPr>
      <w:r>
        <w:t>Web System</w:t>
      </w:r>
    </w:p>
    <w:p>
      <w:pPr>
        <w:pStyle w:val="Step"/>
        <w:numPr>
          <w:numId w:val="67"/>
        </w:numPr>
      </w:pPr>
      <w:r>
        <w:t xml:space="preserve">Log in to the AC web system and choose </w:t>
      </w:r>
      <w:r>
        <w:rPr>
          <w:b/>
        </w:rPr>
        <w:t>Maintenance &gt; Device Upgrade &gt; AC Upgrade</w:t>
      </w:r>
      <w:r>
        <w:t xml:space="preserve">. The </w:t>
      </w:r>
      <w:r>
        <w:rPr>
          <w:b/>
        </w:rPr>
        <w:t>AC Upgrade</w:t>
      </w:r>
      <w:r>
        <w:t xml:space="preserve"> page is displayed.</w:t>
      </w:r>
    </w:p>
    <w:p>
      <w:r>
        <w:pict>
          <v:shape id="_x0000_i1033" type="#_x0000_t75" style="width:393.75pt;height:160.5pt">
            <v:imagedata r:id="rId38" o:title=""/>
          </v:shape>
        </w:pict>
      </w:r>
    </w:p>
    <w:p>
      <w:pPr>
        <w:pStyle w:val="Step"/>
      </w:pPr>
      <w:r>
        <w:t xml:space="preserve">Click </w:t>
      </w:r>
      <w:r>
        <w:rPr>
          <w:b/>
        </w:rPr>
        <w:t>Load Patch</w:t>
      </w:r>
      <w:r>
        <w:t xml:space="preserve">. The </w:t>
      </w:r>
      <w:r>
        <w:rPr>
          <w:b/>
        </w:rPr>
        <w:t>Load Patch</w:t>
      </w:r>
      <w:r>
        <w:t xml:space="preserve"> dialog box is displayed.</w:t>
      </w:r>
    </w:p>
    <w:p>
      <w:pPr>
        <w:pStyle w:val="NotesHeading"/>
        <w:rPr>
          <w:rFonts w:hint="eastAsia"/>
        </w:rPr>
      </w:pPr>
      <w:r>
        <w:rPr>
          <w:rFonts w:hint="eastAsia"/>
          <w:color w:val="339966"/>
        </w:rPr>
        <w:pict>
          <v:shape id="_x0000_i1034" type="#_x0000_t75" style="width:54.08pt;height:19pt">
            <v:imagedata r:id="rId39" o:title="note"/>
          </v:shape>
        </w:pict>
      </w:r>
    </w:p>
    <w:p>
      <w:pPr>
        <w:pStyle w:val="NotesText"/>
      </w:pPr>
      <w:r>
        <w:t xml:space="preserve">If a patch has been installed, </w:t>
      </w:r>
      <w:r>
        <w:rPr>
          <w:b/>
        </w:rPr>
        <w:t>Uninstall Patch</w:t>
      </w:r>
      <w:r>
        <w:t xml:space="preserve"> and </w:t>
      </w:r>
      <w:r>
        <w:rPr>
          <w:b/>
        </w:rPr>
        <w:t>Load Patch</w:t>
      </w:r>
      <w:r>
        <w:t xml:space="preserve"> are displayed. If the patch to be installed is compatible with the installed patch, click </w:t>
      </w:r>
      <w:r>
        <w:rPr>
          <w:b/>
        </w:rPr>
        <w:t>Load Patch</w:t>
      </w:r>
      <w:r>
        <w:t xml:space="preserve"> to install the patch in incremental mode. Otherwise, click </w:t>
      </w:r>
      <w:r>
        <w:rPr>
          <w:b/>
        </w:rPr>
        <w:t>Uninstall Patch</w:t>
      </w:r>
      <w:r>
        <w:t xml:space="preserve"> to uninstall the current patch and then install the new patch.</w:t>
      </w:r>
    </w:p>
    <w:p>
      <w:r>
        <w:pict>
          <v:shape id="_x0000_i1035" type="#_x0000_t75" style="width:370pt;height:157.87pt">
            <v:imagedata r:id="rId40" o:title=""/>
          </v:shape>
        </w:pict>
      </w:r>
    </w:p>
    <w:p>
      <w:pPr>
        <w:pStyle w:val="Step"/>
      </w:pPr>
      <w:r>
        <w:t xml:space="preserve">Click </w:t>
      </w:r>
      <w:r>
        <w:rPr>
          <w:b/>
        </w:rPr>
        <w:t>Upload</w:t>
      </w:r>
      <w:r>
        <w:t xml:space="preserve">. The </w:t>
      </w:r>
      <w:r>
        <w:rPr>
          <w:b/>
        </w:rPr>
        <w:t>Upload</w:t>
      </w:r>
      <w:r>
        <w:t xml:space="preserve"> dialog box is displayed. Click </w:t>
      </w:r>
      <w:r>
        <w:rPr>
          <w:b/>
        </w:rPr>
        <w:t>Browse</w:t>
      </w:r>
      <w:r>
        <w:t xml:space="preserve">, select the patch package from the local PC, and click </w:t>
      </w:r>
      <w:r>
        <w:rPr>
          <w:b/>
        </w:rPr>
        <w:t>OK</w:t>
      </w:r>
      <w:r>
        <w:t>.</w:t>
      </w:r>
    </w:p>
    <w:p>
      <w:r>
        <w:pict>
          <v:shape id="_x0000_i1036" type="#_x0000_t75" style="width:393.75pt;height:130.5pt">
            <v:imagedata r:id="rId41" o:title=""/>
          </v:shape>
        </w:pict>
      </w:r>
    </w:p>
    <w:p>
      <w:pPr>
        <w:pStyle w:val="Step"/>
      </w:pPr>
      <w:r>
        <w:t xml:space="preserve">After the patch package is uploaded, the system returns to the </w:t>
      </w:r>
      <w:r>
        <w:rPr>
          <w:b/>
        </w:rPr>
        <w:t>Load Patch</w:t>
      </w:r>
      <w:r>
        <w:t xml:space="preserve"> dialog box. Click the newly uploaded patch package and click </w:t>
      </w:r>
      <w:r>
        <w:rPr>
          <w:b/>
        </w:rPr>
        <w:t>OK</w:t>
      </w:r>
      <w:r>
        <w:t>. The system starts to load and activate the patch.</w:t>
      </w:r>
    </w:p>
    <w:p>
      <w:r>
        <w:pict>
          <v:shape id="_x0000_i1037" type="#_x0000_t75" style="width:393.75pt;height:192pt">
            <v:imagedata r:id="rId42" o:title=""/>
          </v:shape>
        </w:pict>
      </w:r>
    </w:p>
    <w:p>
      <w:pPr>
        <w:pStyle w:val="End"/>
      </w:pPr>
      <w:r>
        <w:t>----End</w:t>
      </w:r>
    </w:p>
    <w:bookmarkStart w:id="35" w:name="_EN-US_TOPIC_0000001431939194"/>
    <w:bookmarkEnd w:id="35"/>
    <w:p>
      <w:pPr>
        <w:pStyle w:val="Heading2"/>
      </w:pPr>
      <w:bookmarkStart w:id="36" w:name="_EN-US_TOPIC_0000001431939194-chtext"/>
      <w:bookmarkStart w:id="37" w:name="_Toc256000011"/>
      <w:r>
        <w:t>Loading the Web File</w:t>
      </w:r>
      <w:bookmarkEnd w:id="37"/>
      <w:bookmarkEnd w:id="36"/>
    </w:p>
    <w:p>
      <w:pPr>
        <w:pStyle w:val="BlockLabel"/>
      </w:pPr>
      <w:r>
        <w:t>CLI</w:t>
      </w:r>
    </w:p>
    <w:p>
      <w:pPr>
        <w:pStyle w:val="TerminalDisplay"/>
      </w:pPr>
      <w:r>
        <w:t>&lt;AC&gt;</w:t>
      </w:r>
      <w:r>
        <w:rPr>
          <w:b/>
        </w:rPr>
        <w:t xml:space="preserve"> </w:t>
      </w:r>
      <w:r>
        <w:rPr>
          <w:b/>
        </w:rPr>
        <w:t>system-view</w:t>
      </w:r>
      <w:r>
        <w:t xml:space="preserve"> </w:t>
        <w:br/>
        <w:t xml:space="preserve">[AC] </w:t>
      </w:r>
      <w:r>
        <w:rPr>
          <w:b/>
        </w:rPr>
        <w:t>http server load AC_</w:t>
      </w:r>
      <w:r>
        <w:rPr>
          <w:b/>
        </w:rPr>
        <w:t>V200R022C00SPC100</w:t>
      </w:r>
      <w:r>
        <w:rPr>
          <w:b/>
        </w:rPr>
        <w:t>.001.web.7z</w:t>
      </w:r>
    </w:p>
    <w:p>
      <w:pPr>
        <w:pStyle w:val="BlockLabel"/>
      </w:pPr>
      <w:r>
        <w:t>Web System</w:t>
      </w:r>
    </w:p>
    <w:p>
      <w:pPr>
        <w:pStyle w:val="Step"/>
        <w:numPr>
          <w:numId w:val="68"/>
        </w:numPr>
      </w:pPr>
      <w:r>
        <w:t xml:space="preserve">Log in to the AC web system and choose </w:t>
      </w:r>
      <w:r>
        <w:rPr>
          <w:b/>
        </w:rPr>
        <w:t>Maintenance</w:t>
      </w:r>
      <w:r>
        <w:t xml:space="preserve"> &gt; </w:t>
      </w:r>
      <w:r>
        <w:rPr>
          <w:b/>
        </w:rPr>
        <w:t>AC Maintenance</w:t>
      </w:r>
      <w:r>
        <w:t xml:space="preserve"> &gt; </w:t>
      </w:r>
      <w:r>
        <w:rPr>
          <w:b/>
        </w:rPr>
        <w:t>Web File Upgrade</w:t>
      </w:r>
      <w:r>
        <w:t xml:space="preserve">. The </w:t>
      </w:r>
      <w:r>
        <w:rPr>
          <w:b/>
        </w:rPr>
        <w:t>Web File Upgrade</w:t>
      </w:r>
      <w:r>
        <w:t xml:space="preserve"> page is displayed.</w:t>
      </w:r>
    </w:p>
    <w:p>
      <w:r>
        <w:pict>
          <v:shape id="_x0000_i1038" type="#_x0000_t75" style="width:390.24pt;height:126pt">
            <v:imagedata r:id="rId43" o:title=""/>
          </v:shape>
        </w:pict>
      </w:r>
    </w:p>
    <w:p>
      <w:pPr>
        <w:pStyle w:val="Step"/>
      </w:pPr>
      <w:r>
        <w:t>Click</w:t>
      </w:r>
      <w:r>
        <w:pict>
          <v:shape id="_x0000_i1039" type="#_x0000_t75" style="width:26.64pt;height:16.56pt">
            <v:imagedata r:id="rId44" o:title=""/>
          </v:shape>
        </w:pict>
      </w:r>
      <w:r>
        <w:t xml:space="preserve">next to </w:t>
      </w:r>
      <w:r>
        <w:rPr>
          <w:b/>
        </w:rPr>
        <w:t>New web file</w:t>
      </w:r>
      <w:r>
        <w:t xml:space="preserve">. The </w:t>
      </w:r>
      <w:r>
        <w:rPr>
          <w:b/>
        </w:rPr>
        <w:t>Replacing the Web File</w:t>
      </w:r>
      <w:r>
        <w:t xml:space="preserve"> page is displayed.</w:t>
      </w:r>
    </w:p>
    <w:p>
      <w:r>
        <w:pict>
          <v:shape id="_x0000_i1040" type="#_x0000_t75" style="width:393.75pt;height:216.75pt">
            <v:imagedata r:id="rId45" o:title=""/>
          </v:shape>
        </w:pict>
      </w:r>
    </w:p>
    <w:p>
      <w:pPr>
        <w:pStyle w:val="Step"/>
      </w:pPr>
      <w:r>
        <w:t xml:space="preserve">Click </w:t>
      </w:r>
      <w:r>
        <w:rPr>
          <w:b/>
        </w:rPr>
        <w:t>Upload</w:t>
      </w:r>
      <w:r>
        <w:t xml:space="preserve">. The </w:t>
      </w:r>
      <w:r>
        <w:rPr>
          <w:b/>
        </w:rPr>
        <w:t>Upload</w:t>
      </w:r>
      <w:r>
        <w:t xml:space="preserve"> dialog box is displayed. Click </w:t>
      </w:r>
      <w:r>
        <w:rPr>
          <w:b/>
        </w:rPr>
        <w:t>Browse</w:t>
      </w:r>
      <w:r>
        <w:t xml:space="preserve">, select the web file from the local PC, and click </w:t>
      </w:r>
      <w:r>
        <w:rPr>
          <w:b/>
        </w:rPr>
        <w:t>OK</w:t>
      </w:r>
      <w:r>
        <w:t>.</w:t>
      </w:r>
    </w:p>
    <w:p>
      <w:r>
        <w:pict>
          <v:shape id="_x0000_i1041" type="#_x0000_t75" style="width:5in;height:129.6pt">
            <v:imagedata r:id="rId46" o:title=""/>
          </v:shape>
        </w:pict>
      </w:r>
    </w:p>
    <w:p>
      <w:pPr>
        <w:pStyle w:val="Step"/>
      </w:pPr>
      <w:r>
        <w:t xml:space="preserve">After the web file is uploaded, the system returns to the </w:t>
      </w:r>
      <w:r>
        <w:rPr>
          <w:b/>
        </w:rPr>
        <w:t>Replacing the Web File</w:t>
      </w:r>
      <w:r>
        <w:t xml:space="preserve"> dialog box. Click the newly uploaded web file and click </w:t>
      </w:r>
      <w:r>
        <w:rPr>
          <w:b/>
        </w:rPr>
        <w:t>OK</w:t>
      </w:r>
      <w:r>
        <w:t>.</w:t>
      </w:r>
    </w:p>
    <w:p>
      <w:r>
        <w:pict>
          <v:shape id="_x0000_i1042" type="#_x0000_t75" style="width:393.75pt;height:240pt">
            <v:imagedata r:id="rId47" o:title=""/>
          </v:shape>
        </w:pict>
      </w:r>
    </w:p>
    <w:p>
      <w:pPr>
        <w:pStyle w:val="Step"/>
      </w:pPr>
      <w:r>
        <w:t xml:space="preserve">The system returns to the </w:t>
      </w:r>
      <w:r>
        <w:rPr>
          <w:b/>
        </w:rPr>
        <w:t>Replacing the Web File</w:t>
      </w:r>
      <w:r>
        <w:t xml:space="preserve"> dialog box. Click </w:t>
      </w:r>
      <w:r>
        <w:rPr>
          <w:b/>
        </w:rPr>
        <w:t>Apply</w:t>
      </w:r>
      <w:r>
        <w:t xml:space="preserve">. In the dialog box that is displayed, click </w:t>
      </w:r>
      <w:r>
        <w:rPr>
          <w:b/>
        </w:rPr>
        <w:t>OK</w:t>
      </w:r>
      <w:r>
        <w:t>. The system starts to load the web file. After the file is loaded, log in to the web system again.</w:t>
      </w:r>
    </w:p>
    <w:p>
      <w:r>
        <w:pict>
          <v:shape id="_x0000_i1043" type="#_x0000_t75" style="width:374.4pt;height:126.72pt">
            <v:imagedata r:id="rId48" o:title=""/>
          </v:shape>
        </w:pict>
      </w:r>
    </w:p>
    <w:p>
      <w:pPr>
        <w:pStyle w:val="End"/>
      </w:pPr>
      <w:r>
        <w:t>----End</w:t>
      </w:r>
    </w:p>
    <w:p>
      <w:pPr>
        <w:sectPr>
          <w:headerReference w:type="even" r:id="rId49"/>
          <w:headerReference w:type="default" r:id="rId50"/>
          <w:footerReference w:type="even" r:id="rId51"/>
          <w:footerReference w:type="default" r:id="rId52"/>
          <w:type w:val="nextPage"/>
          <w:pgSz w:w="11907" w:h="16840" w:code="9"/>
          <w:pgMar w:top="1701" w:right="1134" w:bottom="1701" w:left="1134" w:header="567" w:footer="567" w:gutter="0"/>
          <w:pgNumType w:fmt="decimal"/>
          <w:cols w:space="425"/>
          <w:docGrid w:linePitch="312"/>
        </w:sectPr>
      </w:pPr>
    </w:p>
    <w:p>
      <w:pPr>
        <w:pStyle w:val="Heading1"/>
      </w:pPr>
      <w:bookmarkStart w:id="38" w:name="_EN-US_TOPIC_0000001481775689"/>
      <w:bookmarkEnd w:id="38"/>
      <w:bookmarkStart w:id="39" w:name="_EN-US_TOPIC_0000001481775689-chtext"/>
      <w:bookmarkStart w:id="40" w:name="_Toc256000012"/>
      <w:r>
        <w:t>Installing Patches (Intelligent Upgrade)</w:t>
      </w:r>
      <w:bookmarkEnd w:id="40"/>
      <w:bookmarkEnd w:id="39"/>
    </w:p>
    <w:p>
      <w:pPr>
        <w:pStyle w:val="BlockLabel"/>
      </w:pPr>
      <w:r>
        <w:t>Context</w:t>
      </w:r>
    </w:p>
    <w:p>
      <w:r>
        <w:t xml:space="preserve">Huawei devices support automatic download and self-service upgrade to help you learn about the mainstream versions of the devices and quickly perform device upgrade and repair. After enabling the intelligent upgrade function on the web system of devices, you hereby authorize Huawei Technologies Co., Ltd. to exchange information with your devices through the Huawei Online Upgrade Platform (HOUP) at </w:t>
      </w:r>
      <w:hyperlink r:id="rId53" w:tooltip=" " w:history="1">
        <w:r>
          <w:rPr>
            <w:rStyle w:val="Hyperlink"/>
          </w:rPr>
          <w:t>http://houp.huawei.com</w:t>
        </w:r>
      </w:hyperlink>
      <w:r>
        <w:t xml:space="preserve"> to collect information such as device models, basic software versions and patches, and device ESNs. The information will be used to match the versions or patches that can be upgraded and return the information such as the upgrade versions or patches and the download URLs of software packages to your devices. After you confirm the upgrade, the devices will automatically download the software packages and implement an upgrade. When the upgrade is completed, the upgrade result will be uploaded to Huawei online upgrade platform. You are advised to enter your email and phone number for emergency contact upon any upgrade error. We will contact you if necessary so that your network services can work properly after the upgrade.</w:t>
      </w:r>
    </w:p>
    <w:p>
      <w:pPr>
        <w:pStyle w:val="BlockLabel"/>
      </w:pPr>
      <w:r>
        <w:t>Prerequisites</w:t>
      </w:r>
    </w:p>
    <w:p>
      <w:r>
        <w:t>Intelligent upgrade requires that an AC be able to access the Huawei Online Upgrade Platform (</w:t>
      </w:r>
      <w:hyperlink r:id="rId53" w:tooltip=" " w:history="1">
        <w:r>
          <w:rPr>
            <w:rStyle w:val="Hyperlink"/>
          </w:rPr>
          <w:t>http://houp.huawei.com</w:t>
        </w:r>
      </w:hyperlink>
      <w:r>
        <w:t>). A DNS server has been configured to resolve the IP address mapping the domain name of the HOUP.</w:t>
      </w:r>
    </w:p>
    <w:p>
      <w:r>
        <w:t>The software version of the AC is V200R010C00 or later.</w:t>
      </w:r>
    </w:p>
    <w:p>
      <w:pPr>
        <w:pStyle w:val="BlockLabel"/>
      </w:pPr>
      <w:r>
        <w:t>Precautions</w:t>
      </w:r>
    </w:p>
    <w:p>
      <w:r>
        <w:t>HOUP connectivity can be checked on the intelligent upgrade page. If the AC cannot connect to the HOUP, check the following configurations:</w:t>
      </w:r>
    </w:p>
    <w:p>
      <w:pPr>
        <w:pStyle w:val="ItemList"/>
      </w:pPr>
      <w:r>
        <w:t>If a DNS server has been configured on the intranet, verify that the IP address of the DNS server has been added to the DNS configuration on the AC. If no DNS server has been configured on the intranet, add the public DNS server address to the DNS configuration, for example, 114.114.114.114.</w:t>
      </w:r>
    </w:p>
    <w:p>
      <w:pPr>
        <w:pStyle w:val="ItemList"/>
      </w:pPr>
      <w:r>
        <w:t>If security devices such as firewalls exist on the network, verify that the security defense policy allows access to the HOUP and the AC can properly download files from the HOUP.</w:t>
      </w:r>
    </w:p>
    <w:p>
      <w:pPr>
        <w:pStyle w:val="BlockLabel"/>
      </w:pPr>
      <w:r>
        <w:t>Procedure</w:t>
      </w:r>
    </w:p>
    <w:p>
      <w:r>
        <w:t xml:space="preserve">The following example describes how to perform an intelligent upgrade of an </w:t>
      </w:r>
      <w:r>
        <w:t>AirEngine9700-M</w:t>
      </w:r>
      <w:r>
        <w:t>.</w:t>
      </w:r>
    </w:p>
    <w:p>
      <w:pPr>
        <w:pStyle w:val="Step"/>
        <w:numPr>
          <w:numId w:val="69"/>
        </w:numPr>
      </w:pPr>
      <w:r>
        <w:t xml:space="preserve">Log in to the web system and access the </w:t>
      </w:r>
      <w:r>
        <w:rPr>
          <w:b/>
        </w:rPr>
        <w:t>Intelligent Upgrade</w:t>
      </w:r>
      <w:r>
        <w:t xml:space="preserve"> page.</w:t>
      </w:r>
    </w:p>
    <w:p>
      <w:r>
        <w:pict>
          <v:shape id="_x0000_i1044" type="#_x0000_t75" style="width:370pt;height:107.83pt">
            <v:imagedata r:id="rId54" o:title=""/>
          </v:shape>
        </w:pict>
      </w:r>
    </w:p>
    <w:p>
      <w:pPr>
        <w:pStyle w:val="Step"/>
      </w:pPr>
      <w:r>
        <w:t xml:space="preserve">After </w:t>
      </w:r>
      <w:r>
        <w:rPr>
          <w:b/>
        </w:rPr>
        <w:t>Automatic version upgrade check</w:t>
      </w:r>
      <w:r>
        <w:t xml:space="preserve"> is enabled, the recommended target software versions are displayed. Click </w:t>
      </w:r>
      <w:r>
        <w:rPr>
          <w:b/>
        </w:rPr>
        <w:t>Immediate Upgrade</w:t>
      </w:r>
      <w:r>
        <w:t xml:space="preserve"> or </w:t>
      </w:r>
      <w:r>
        <w:rPr>
          <w:b/>
        </w:rPr>
        <w:t>Scheduled Upgrade</w:t>
      </w:r>
      <w:r>
        <w:t xml:space="preserve"> to perform an upgrade.</w:t>
      </w:r>
    </w:p>
    <w:p>
      <w:pPr>
        <w:pStyle w:val="End"/>
      </w:pPr>
      <w:r>
        <w:t>----End</w:t>
      </w:r>
    </w:p>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bookmarkStart w:id="41" w:name="_EN-US_TOPIC_0000001432416042"/>
    <w:bookmarkEnd w:id="41"/>
    <w:p>
      <w:pPr>
        <w:pStyle w:val="Heading1"/>
      </w:pPr>
      <w:bookmarkStart w:id="42" w:name="_EN-US_TOPIC_0000001432416042-chtext"/>
      <w:bookmarkStart w:id="43" w:name="_Toc256000013"/>
      <w:r>
        <w:t>Verifying Patch Installation</w:t>
      </w:r>
      <w:bookmarkEnd w:id="43"/>
      <w:bookmarkEnd w:id="42"/>
    </w:p>
    <w:bookmarkStart w:id="44" w:name="_EN-US_TOPIC_0000001432256790"/>
    <w:bookmarkEnd w:id="44"/>
    <w:p>
      <w:pPr>
        <w:pStyle w:val="Heading2"/>
        <w:numPr>
          <w:numId w:val="59"/>
        </w:numPr>
      </w:pPr>
      <w:bookmarkStart w:id="45" w:name="_EN-US_TOPIC_0000001432256790-chtext"/>
      <w:bookmarkStart w:id="46" w:name="_Toc256000014"/>
      <w:r>
        <w:t>Verifying Version Information</w:t>
      </w:r>
      <w:bookmarkEnd w:id="46"/>
      <w:bookmarkEnd w:id="45"/>
    </w:p>
    <w:p>
      <w:pPr>
        <w:pStyle w:val="BlockLabel"/>
      </w:pPr>
      <w:r>
        <w:t>CLI</w:t>
      </w:r>
    </w:p>
    <w:p>
      <w:pPr>
        <w:pStyle w:val="TerminalDisplay"/>
      </w:pPr>
      <w:r>
        <w:t>&lt;AC&gt;</w:t>
      </w:r>
      <w:r>
        <w:rPr>
          <w:b/>
        </w:rPr>
        <w:t xml:space="preserve"> display patch-information</w:t>
      </w:r>
      <w:r>
        <w:t xml:space="preserve"> </w:t>
        <w:br/>
        <w:t>Patch Package Name    :flash:/</w:t>
      </w:r>
      <w:r>
        <w:rPr>
          <w:b/>
        </w:rPr>
        <w:t>AirEngine9700-M</w:t>
      </w:r>
      <w:r>
        <w:rPr>
          <w:b/>
        </w:rPr>
        <w:t>_</w:t>
      </w:r>
      <w:r>
        <w:rPr>
          <w:b/>
        </w:rPr>
        <w:t>V200R022C00SPH001</w:t>
      </w:r>
      <w:r>
        <w:rPr>
          <w:b/>
        </w:rPr>
        <w:t>.pat</w:t>
      </w:r>
      <w:r>
        <w:t xml:space="preserve"> </w:t>
        <w:br/>
        <w:t>Patch Package Version :</w:t>
      </w:r>
      <w:r>
        <w:t>V200R022C00SPC100</w:t>
      </w:r>
      <w:r>
        <w:t xml:space="preserve"> </w:t>
        <w:br/>
        <w:t>The current state is:</w:t>
      </w:r>
      <w:r>
        <w:rPr>
          <w:b/>
        </w:rPr>
        <w:t>Running</w:t>
      </w:r>
      <w:r>
        <w:t xml:space="preserve"> </w:t>
        <w:br/>
        <w:t xml:space="preserve">****************************************************************** </w:t>
        <w:br/>
        <w:t xml:space="preserve">*            The patch information, as follows                   * </w:t>
        <w:br/>
        <w:t xml:space="preserve">****************************************************************** </w:t>
        <w:br/>
        <w:t xml:space="preserve">------------------------------------------------------------------ </w:t>
        <w:br/>
        <w:t xml:space="preserve">VRP       Running    15        2022-12-21 15:20:22+08:00 </w:t>
        <w:br/>
        <w:t xml:space="preserve">WMI       Running    10        2022-12-21 15:20:22+08:00 </w:t>
        <w:br/>
        <w:t xml:space="preserve">WMC       Running    10        2022-12-21 15:20:22+08:00 </w:t>
        <w:br/>
        <w:t>NAC       Running    5         2022-12-21 15:20:22+08:00</w:t>
      </w:r>
    </w:p>
    <w:p>
      <w:pPr>
        <w:pStyle w:val="BlockLabel"/>
      </w:pPr>
      <w:r>
        <w:t>Web System</w:t>
      </w:r>
    </w:p>
    <w:p>
      <w:pPr>
        <w:pStyle w:val="Step"/>
        <w:numPr>
          <w:numId w:val="70"/>
        </w:numPr>
      </w:pPr>
      <w:r>
        <w:t>Log in to the AC web system and choose</w:t>
      </w:r>
      <w:r>
        <w:rPr>
          <w:b/>
        </w:rPr>
        <w:t xml:space="preserve"> Maintenance &gt; Device Upgrade &gt; AC Upgrade</w:t>
      </w:r>
      <w:r>
        <w:t xml:space="preserve">. The </w:t>
      </w:r>
      <w:r>
        <w:rPr>
          <w:b/>
        </w:rPr>
        <w:t>AC Upgrade</w:t>
      </w:r>
      <w:r>
        <w:t xml:space="preserve"> page is displayed. Verify </w:t>
      </w:r>
      <w:r>
        <w:rPr>
          <w:b/>
        </w:rPr>
        <w:t>Current patch file</w:t>
      </w:r>
      <w:r>
        <w:t xml:space="preserve"> and </w:t>
      </w:r>
      <w:r>
        <w:rPr>
          <w:b/>
        </w:rPr>
        <w:t>Patch file version</w:t>
      </w:r>
      <w:r>
        <w:t>.</w:t>
      </w:r>
    </w:p>
    <w:p>
      <w:r>
        <w:pict>
          <v:shape id="_x0000_i1045" type="#_x0000_t75" style="width:393.75pt;height:158.25pt">
            <v:imagedata r:id="rId59" o:title=""/>
          </v:shape>
        </w:pict>
      </w:r>
    </w:p>
    <w:p>
      <w:pPr>
        <w:pStyle w:val="End"/>
      </w:pPr>
      <w:r>
        <w:t>----End</w:t>
      </w:r>
    </w:p>
    <w:p>
      <w:pPr>
        <w:sectPr>
          <w:headerReference w:type="even" r:id="rId60"/>
          <w:headerReference w:type="default" r:id="rId61"/>
          <w:footerReference w:type="even" r:id="rId62"/>
          <w:footerReference w:type="default" r:id="rId63"/>
          <w:type w:val="nextPage"/>
          <w:pgSz w:w="11907" w:h="16840" w:code="9"/>
          <w:pgMar w:top="1701" w:right="1134" w:bottom="1701" w:left="1134" w:header="567" w:footer="567" w:gutter="0"/>
          <w:pgNumType w:fmt="decimal"/>
          <w:cols w:space="425"/>
          <w:docGrid w:linePitch="312"/>
        </w:sectPr>
      </w:pPr>
    </w:p>
    <w:bookmarkStart w:id="47" w:name="_EN-US_TOPIC_0000001482215481"/>
    <w:bookmarkEnd w:id="47"/>
    <w:p>
      <w:pPr>
        <w:pStyle w:val="Heading1"/>
      </w:pPr>
      <w:bookmarkStart w:id="48" w:name="_EN-US_TOPIC_0000001482215481-chtext"/>
      <w:bookmarkStart w:id="49" w:name="_Toc256000015"/>
      <w:r>
        <w:t>Rolling Back Patch Installation</w:t>
      </w:r>
      <w:bookmarkEnd w:id="49"/>
      <w:bookmarkEnd w:id="48"/>
    </w:p>
    <w:bookmarkStart w:id="50" w:name="_EN-US_TOPIC_0000001432416046"/>
    <w:bookmarkEnd w:id="50"/>
    <w:p>
      <w:pPr>
        <w:pStyle w:val="Heading2"/>
        <w:numPr>
          <w:numId w:val="61"/>
        </w:numPr>
      </w:pPr>
      <w:bookmarkStart w:id="51" w:name="_EN-US_TOPIC_0000001432416046-chtext"/>
      <w:bookmarkStart w:id="52" w:name="_Toc256000016"/>
      <w:r>
        <w:t>Guidelines</w:t>
      </w:r>
      <w:bookmarkEnd w:id="52"/>
      <w:bookmarkEnd w:id="51"/>
    </w:p>
    <w:p>
      <w:r>
        <w:t>In the cases that the patch installation fails and a rollback procedure is necessary, perform the following procedure to roll back to the previous state.</w:t>
      </w:r>
    </w:p>
    <w:bookmarkStart w:id="53" w:name="_EN-US_TOPIC_0000001481775697"/>
    <w:bookmarkEnd w:id="53"/>
    <w:p>
      <w:pPr>
        <w:pStyle w:val="Heading2"/>
      </w:pPr>
      <w:bookmarkStart w:id="54" w:name="_EN-US_TOPIC_0000001481775697-chtext"/>
      <w:bookmarkStart w:id="55" w:name="_Toc256000017"/>
      <w:r>
        <w:t>Rollback Version and Patch</w:t>
      </w:r>
      <w:bookmarkEnd w:id="55"/>
      <w:bookmarkEnd w:id="54"/>
    </w:p>
    <w:p>
      <w:pPr>
        <w:pStyle w:val="BlockLabel"/>
      </w:pPr>
      <w:r>
        <w:t>CLI</w:t>
      </w:r>
    </w:p>
    <w:p>
      <w:pPr>
        <w:pStyle w:val="Step"/>
        <w:numPr>
          <w:numId w:val="71"/>
        </w:numPr>
      </w:pPr>
      <w:r>
        <w:t>Delete all patches.</w:t>
      </w:r>
    </w:p>
    <w:p>
      <w:pPr>
        <w:pStyle w:val="TerminalDisplay"/>
      </w:pPr>
      <w:r>
        <w:t>&lt;AC&gt;</w:t>
      </w:r>
      <w:r>
        <w:rPr>
          <w:b/>
        </w:rPr>
        <w:t xml:space="preserve"> patch delete all</w:t>
      </w:r>
      <w:r>
        <w:t xml:space="preserve"> </w:t>
        <w:br/>
        <w:t xml:space="preserve">  The patch will be deleted. Continue? (y/n)[n]:</w:t>
      </w:r>
      <w:r>
        <w:rPr>
          <w:b/>
        </w:rPr>
        <w:t>y</w:t>
      </w:r>
      <w:r>
        <w:t xml:space="preserve"> </w:t>
        <w:br/>
        <w:t xml:space="preserve">Info: Deleting the patch. Please wait for a moment... </w:t>
        <w:br/>
        <w:t>Info: Finished deleting the patch.</w:t>
      </w:r>
    </w:p>
    <w:p>
      <w:pPr>
        <w:pStyle w:val="Step"/>
      </w:pPr>
      <w:r>
        <w:t>Check whether the patches have been deleted.</w:t>
      </w:r>
    </w:p>
    <w:p>
      <w:pPr>
        <w:pStyle w:val="TerminalDisplay"/>
      </w:pPr>
      <w:r>
        <w:t>&lt;AC&gt;</w:t>
      </w:r>
      <w:r>
        <w:rPr>
          <w:b/>
        </w:rPr>
        <w:t xml:space="preserve"> display patch-information</w:t>
      </w:r>
      <w:r>
        <w:t xml:space="preserve"> </w:t>
        <w:br/>
        <w:t xml:space="preserve">Info: No patch exists. </w:t>
        <w:br/>
        <w:t>The current state is:Idle</w:t>
      </w:r>
    </w:p>
    <w:p>
      <w:pPr>
        <w:pStyle w:val="Step"/>
      </w:pPr>
      <w:r>
        <w:t>Install the previous patches.</w:t>
      </w:r>
    </w:p>
    <w:p>
      <w:pPr>
        <w:pStyle w:val="End"/>
      </w:pPr>
      <w:r>
        <w:t>----End</w:t>
      </w:r>
    </w:p>
    <w:p>
      <w:pPr>
        <w:pStyle w:val="BlockLabel"/>
      </w:pPr>
      <w:r>
        <w:t>Web System</w:t>
      </w:r>
    </w:p>
    <w:p>
      <w:pPr>
        <w:pStyle w:val="Step"/>
        <w:numPr>
          <w:numId w:val="72"/>
        </w:numPr>
      </w:pPr>
      <w:r>
        <w:t xml:space="preserve">Log in to the AC web system and choose </w:t>
      </w:r>
      <w:r>
        <w:rPr>
          <w:b/>
        </w:rPr>
        <w:t>Maintenance &gt; Device Upgrade &gt; AC Upgrade</w:t>
      </w:r>
      <w:r>
        <w:t xml:space="preserve">. The </w:t>
      </w:r>
      <w:r>
        <w:rPr>
          <w:b/>
        </w:rPr>
        <w:t>AC Upgrade</w:t>
      </w:r>
      <w:r>
        <w:t xml:space="preserve"> page is displayed.</w:t>
      </w:r>
    </w:p>
    <w:p>
      <w:r>
        <w:pict>
          <v:shape id="_x0000_i1046" type="#_x0000_t75" style="width:393.75pt;height:159pt">
            <v:imagedata r:id="rId64" o:title=""/>
          </v:shape>
        </w:pict>
      </w:r>
    </w:p>
    <w:p>
      <w:pPr>
        <w:pStyle w:val="Step"/>
      </w:pPr>
      <w:r>
        <w:t xml:space="preserve">Click </w:t>
      </w:r>
      <w:r>
        <w:rPr>
          <w:b/>
        </w:rPr>
        <w:t>Uninstall Patch</w:t>
      </w:r>
      <w:r>
        <w:t xml:space="preserve">. In the dialog box that is displayed, click </w:t>
      </w:r>
      <w:r>
        <w:rPr>
          <w:b/>
        </w:rPr>
        <w:t>OK</w:t>
      </w:r>
      <w:r>
        <w:t>.</w:t>
      </w:r>
    </w:p>
    <w:p>
      <w:pPr>
        <w:pStyle w:val="End"/>
      </w:pPr>
      <w:r>
        <w:t>----End</w:t>
      </w:r>
    </w:p>
    <w:p>
      <w:pPr>
        <w:sectPr>
          <w:headerReference w:type="even" r:id="rId65"/>
          <w:headerReference w:type="default" r:id="rId66"/>
          <w:footerReference w:type="even" r:id="rId67"/>
          <w:footerReference w:type="default" r:id="rId68"/>
          <w:type w:val="nextPage"/>
          <w:pgSz w:w="11907" w:h="16840" w:code="9"/>
          <w:pgMar w:top="1701" w:right="1134" w:bottom="1701" w:left="1134" w:header="567" w:footer="567" w:gutter="0"/>
          <w:pgNumType w:fmt="decimal"/>
          <w:cols w:space="425"/>
          <w:docGrid w:linePitch="312"/>
        </w:sectPr>
      </w:pPr>
    </w:p>
    <w:p>
      <w:pPr>
        <w:pStyle w:val="Heading1"/>
      </w:pPr>
      <w:bookmarkStart w:id="56" w:name="_EN-US_TOPIC_0000001432256794"/>
      <w:bookmarkEnd w:id="56"/>
      <w:bookmarkStart w:id="57" w:name="_EN-US_TOPIC_0000001432256794-chtext"/>
      <w:bookmarkStart w:id="58" w:name="_Toc256000018"/>
      <w:r>
        <w:t>FAQs</w:t>
      </w:r>
      <w:bookmarkEnd w:id="58"/>
      <w:bookmarkEnd w:id="57"/>
    </w:p>
    <w:p>
      <w:r>
        <w:rPr>
          <w:b/>
        </w:rPr>
        <w:t>Q:</w:t>
      </w:r>
      <w:r>
        <w:rPr>
          <w:b/>
        </w:rPr>
        <w:t xml:space="preserve"> When should I restart the device to make the patch take effect?</w:t>
      </w:r>
    </w:p>
    <w:p>
      <w:r>
        <w:t>A: Restart the device if the patch is a cold patch or the restart is mandatory for the patch to take effect according to the patch release notes.</w:t>
      </w:r>
    </w:p>
    <w:p>
      <w:r>
        <w:rPr>
          <w:b/>
        </w:rPr>
        <w:t>Q:</w:t>
      </w:r>
      <w:r>
        <w:rPr>
          <w:b/>
        </w:rPr>
        <w:t xml:space="preserve"> What is a cold patch?</w:t>
      </w:r>
    </w:p>
    <w:p>
      <w:r>
        <w:t>A: A cold patch is a group of new files that are released to fix the known issues or meet new requirements and take effect after the software module is reset. The emergency cold patches are named CPxxxx, and the accumulative cold patches are named SPCxxx.</w:t>
      </w:r>
    </w:p>
    <w:p>
      <w:r>
        <w:rPr>
          <w:b/>
        </w:rPr>
        <w:t>Q:</w:t>
      </w:r>
      <w:r>
        <w:rPr>
          <w:b/>
        </w:rPr>
        <w:t xml:space="preserve"> What is a hot patch?</w:t>
      </w:r>
    </w:p>
    <w:p>
      <w:r>
        <w:t>A: A hot patch is a group of new code that will replace the old code to fix known issues or meet new requirements without interrupting the long-term device operation. The emergency hot patches are named HPxxxx, and the accumulative hot patches are named SPHxxx.</w:t>
      </w:r>
    </w:p>
    <w:p>
      <w:r>
        <w:rPr>
          <w:b/>
        </w:rPr>
        <w:t>Q:</w:t>
      </w:r>
      <w:r>
        <w:rPr>
          <w:b/>
        </w:rPr>
        <w:t xml:space="preserve"> How to identify fully-compiled patch packages and incremental patch packages according to their version number?</w:t>
      </w:r>
    </w:p>
    <w:p>
      <w:r>
        <w:t xml:space="preserve">A: The patch package name is in SPxabc format, where </w:t>
      </w:r>
      <w:r>
        <w:rPr>
          <w:i/>
        </w:rPr>
        <w:t>x</w:t>
      </w:r>
      <w:r>
        <w:t xml:space="preserve"> indicates whether the patch package is a hot or cold patch package, and </w:t>
      </w:r>
      <w:r>
        <w:rPr>
          <w:i/>
        </w:rPr>
        <w:t>bc</w:t>
      </w:r>
      <w:r>
        <w:t xml:space="preserve"> determines whether the patch package is fully compiled or incremental. The details are as follows:</w:t>
      </w:r>
    </w:p>
    <w:p>
      <w:pPr>
        <w:pStyle w:val="ItemList"/>
      </w:pPr>
      <w:r>
        <w:t>When x=C and bc=00, the patch package is a fully-compiled patch package.</w:t>
      </w:r>
    </w:p>
    <w:p>
      <w:pPr>
        <w:pStyle w:val="ItemList"/>
      </w:pPr>
      <w:r>
        <w:t>When x=H and bc≠00, the patch package is an incremental hot patch package.</w:t>
      </w:r>
    </w:p>
    <w:p>
      <w:pPr>
        <w:pStyle w:val="ItemList"/>
      </w:pPr>
      <w:r>
        <w:t>When x=C and bc≠00, the patch package is an incremental cold patch package.</w:t>
      </w:r>
    </w:p>
    <w:sectPr>
      <w:headerReference w:type="even" r:id="rId69"/>
      <w:headerReference w:type="default" r:id="rId70"/>
      <w:footerReference w:type="even" r:id="rId71"/>
      <w:footerReference w:type="default" r:id="rId72"/>
      <w:type w:val="nextPage"/>
      <w:pgSz w:w="11907" w:h="16840" w:code="9"/>
      <w:pgMar w:top="1701" w:right="1134" w:bottom="1701" w:left="1134" w:header="567" w:footer="567" w:gutter="0"/>
      <w:pgNumType w:fmt="decimal"/>
      <w:cols w:space="425"/>
      <w:docGrid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t>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t>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5</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10</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12</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13</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15</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2022-12-30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16</w:t>
          </w:r>
          <w:r>
            <w:fldChar w:fldCharType="end"/>
          </w:r>
        </w:p>
      </w:tc>
    </w:tr>
  </w:tbl>
  <w:p>
    <w:pPr>
      <w:pStyle w:val="HeadingRight"/>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Precautions</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Preparing to Install</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Installing Patches (Local Mode)</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Installing Patches (Intelligent Upgrade)</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Verifying Patch Installation</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Rolling Back Patch Installation</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AC</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FAQs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Word2002TableStyleRules/>
    <w:doNotUseIndentAsNumberingTabStop/>
    <w:splitPgBreakAndParaMark/>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15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rsid w:val="00F613A7"/>
    <w:pPr>
      <w:numPr>
        <w:ilvl w:val="1"/>
        <w:numId w:val="27"/>
      </w:numPr>
      <w:topLinePunct w:val="0"/>
      <w:spacing w:before="200"/>
      <w:outlineLvl w:val="7"/>
    </w:pPr>
    <w:rPr>
      <w:rFonts w:cs="Times New Roman"/>
    </w:rPr>
  </w:style>
  <w:style w:type="paragraph" w:styleId="Heading9">
    <w:name w:val="heading 9"/>
    <w:basedOn w:val="Heading3"/>
    <w:next w:val="Normal"/>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e.huawei.com"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8.xml" /><Relationship Id="rId25" Type="http://schemas.openxmlformats.org/officeDocument/2006/relationships/footer" Target="footer9.xml" /><Relationship Id="rId26" Type="http://schemas.openxmlformats.org/officeDocument/2006/relationships/hyperlink" Target="http://support.huawei.com/enterprise/" TargetMode="External" /><Relationship Id="rId27" Type="http://schemas.openxmlformats.org/officeDocument/2006/relationships/hyperlink" Target="http://support.huawei.com" TargetMode="External" /><Relationship Id="rId28" Type="http://schemas.openxmlformats.org/officeDocument/2006/relationships/hyperlink" Target="https://support.huawei.com/enterprise/en/tool/pgp-verify-TL1000000054" TargetMode="External" /><Relationship Id="rId29" Type="http://schemas.openxmlformats.org/officeDocument/2006/relationships/hyperlink" Target="https://support.huawei.com/carrier/digitalSignatureAction" TargetMode="External"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image" Target="media/image4.png" /><Relationship Id="rId32" Type="http://schemas.openxmlformats.org/officeDocument/2006/relationships/image" Target="media/image5.png" /><Relationship Id="rId33" Type="http://schemas.openxmlformats.org/officeDocument/2006/relationships/image" Target="media/image6.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image" Target="media/image7.png" /><Relationship Id="rId39" Type="http://schemas.openxmlformats.org/officeDocument/2006/relationships/image" Target="media/image8.png" /><Relationship Id="rId4" Type="http://schemas.openxmlformats.org/officeDocument/2006/relationships/image" Target="media/image1.jpeg" /><Relationship Id="rId40" Type="http://schemas.openxmlformats.org/officeDocument/2006/relationships/image" Target="media/image9.png" /><Relationship Id="rId41" Type="http://schemas.openxmlformats.org/officeDocument/2006/relationships/image" Target="media/image10.png" /><Relationship Id="rId42" Type="http://schemas.openxmlformats.org/officeDocument/2006/relationships/image" Target="media/image11.png" /><Relationship Id="rId43" Type="http://schemas.openxmlformats.org/officeDocument/2006/relationships/image" Target="media/image12.png" /><Relationship Id="rId44" Type="http://schemas.openxmlformats.org/officeDocument/2006/relationships/image" Target="media/image13.png" /><Relationship Id="rId45" Type="http://schemas.openxmlformats.org/officeDocument/2006/relationships/image" Target="media/image14.png" /><Relationship Id="rId46" Type="http://schemas.openxmlformats.org/officeDocument/2006/relationships/image" Target="media/image15.png" /><Relationship Id="rId47" Type="http://schemas.openxmlformats.org/officeDocument/2006/relationships/image" Target="media/image16.png" /><Relationship Id="rId48" Type="http://schemas.openxmlformats.org/officeDocument/2006/relationships/image" Target="media/image17.png" /><Relationship Id="rId49" Type="http://schemas.openxmlformats.org/officeDocument/2006/relationships/header" Target="header13.xml" /><Relationship Id="rId5" Type="http://schemas.openxmlformats.org/officeDocument/2006/relationships/image" Target="media/image2.png" /><Relationship Id="rId50" Type="http://schemas.openxmlformats.org/officeDocument/2006/relationships/header" Target="header14.xml" /><Relationship Id="rId51" Type="http://schemas.openxmlformats.org/officeDocument/2006/relationships/footer" Target="footer12.xml" /><Relationship Id="rId52" Type="http://schemas.openxmlformats.org/officeDocument/2006/relationships/footer" Target="footer13.xml" /><Relationship Id="rId53" Type="http://schemas.openxmlformats.org/officeDocument/2006/relationships/hyperlink" Target="http://houp.huawei.com/" TargetMode="External" /><Relationship Id="rId54" Type="http://schemas.openxmlformats.org/officeDocument/2006/relationships/image" Target="media/image18.png" /><Relationship Id="rId55" Type="http://schemas.openxmlformats.org/officeDocument/2006/relationships/header" Target="header15.xml" /><Relationship Id="rId56" Type="http://schemas.openxmlformats.org/officeDocument/2006/relationships/header" Target="header16.xml" /><Relationship Id="rId57" Type="http://schemas.openxmlformats.org/officeDocument/2006/relationships/footer" Target="footer14.xml" /><Relationship Id="rId58" Type="http://schemas.openxmlformats.org/officeDocument/2006/relationships/footer" Target="footer15.xml" /><Relationship Id="rId59" Type="http://schemas.openxmlformats.org/officeDocument/2006/relationships/image" Target="media/image19.png" /><Relationship Id="rId6" Type="http://schemas.openxmlformats.org/officeDocument/2006/relationships/header" Target="header1.xml" /><Relationship Id="rId60" Type="http://schemas.openxmlformats.org/officeDocument/2006/relationships/header" Target="header17.xml" /><Relationship Id="rId61" Type="http://schemas.openxmlformats.org/officeDocument/2006/relationships/header" Target="header18.xml" /><Relationship Id="rId62" Type="http://schemas.openxmlformats.org/officeDocument/2006/relationships/footer" Target="footer16.xml" /><Relationship Id="rId63" Type="http://schemas.openxmlformats.org/officeDocument/2006/relationships/footer" Target="footer17.xml" /><Relationship Id="rId64" Type="http://schemas.openxmlformats.org/officeDocument/2006/relationships/image" Target="media/image20.png" /><Relationship Id="rId65" Type="http://schemas.openxmlformats.org/officeDocument/2006/relationships/header" Target="header19.xml" /><Relationship Id="rId66" Type="http://schemas.openxmlformats.org/officeDocument/2006/relationships/header" Target="header20.xml" /><Relationship Id="rId67" Type="http://schemas.openxmlformats.org/officeDocument/2006/relationships/footer" Target="footer18.xml" /><Relationship Id="rId68" Type="http://schemas.openxmlformats.org/officeDocument/2006/relationships/footer" Target="footer19.xml" /><Relationship Id="rId69" Type="http://schemas.openxmlformats.org/officeDocument/2006/relationships/header" Target="header21.xml" /><Relationship Id="rId7" Type="http://schemas.openxmlformats.org/officeDocument/2006/relationships/header" Target="header2.xml" /><Relationship Id="rId70" Type="http://schemas.openxmlformats.org/officeDocument/2006/relationships/header" Target="header22.xml" /><Relationship Id="rId71" Type="http://schemas.openxmlformats.org/officeDocument/2006/relationships/footer" Target="footer20.xml" /><Relationship Id="rId72" Type="http://schemas.openxmlformats.org/officeDocument/2006/relationships/footer" Target="footer21.xml" /><Relationship Id="rId73" Type="http://schemas.openxmlformats.org/officeDocument/2006/relationships/numbering" Target="numbering.xml" /><Relationship Id="rId74" Type="http://schemas.openxmlformats.org/officeDocument/2006/relationships/styles" Target="styles.xml" /><Relationship Id="rId8" Type="http://schemas.openxmlformats.org/officeDocument/2006/relationships/footer" Target="footer1.xml" /><Relationship Id="rId9" Type="http://schemas.openxmlformats.org/officeDocument/2006/relationships/footer" Target="footer2.xml" /></Relationships>
</file>

<file path=docProps/app.xml><?xml version="1.0" encoding="utf-8"?>
<Properties xmlns="http://schemas.openxmlformats.org/officeDocument/2006/extended-properties" xmlns:vt="http://schemas.openxmlformats.org/officeDocument/2006/docPropsVTypes">
  <TotalTime>0</TotalTime>
  <Pages>19</Pages>
  <Words>2370</Words>
  <Characters>13150</Characters>
  <Application>Microsoft Office Word</Application>
  <DocSecurity>0</DocSecurity>
  <Lines>0</Lines>
  <Paragraphs>188</Paragraphs>
  <ScaleCrop>false</ScaleCrop>
  <Company>Huawei Technologies Co.,Ltd.</Company>
  <LinksUpToDate>false</LinksUpToDate>
  <CharactersWithSpaces>15646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Installation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Installation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AC</vt:lpwstr>
  </property>
  <property fmtid="{D5CDD505-2E9C-101B-9397-08002B2CF9AE}" pid="6" name="ProductVersion">
    <vt:lpwstr>V200R022</vt:lpwstr>
  </property>
  <property fmtid="{D5CDD505-2E9C-101B-9397-08002B2CF9AE}" pid="7" name="ProprietaryDeclaration">
    <vt:lpwstr>Copyright © Huawei Technologies Co., Ltd.</vt:lpwstr>
  </property>
  <property fmtid="{D5CDD505-2E9C-101B-9397-08002B2CF9AE}" pid="8" name="ReleaseDate">
    <vt:lpwstr>2022-12-30</vt:lpwstr>
  </property>
  <property fmtid="{D5CDD505-2E9C-101B-9397-08002B2CF9AE}" pid="9" name="SecretLevel">
    <vt:lpwstr>PUBLIC OPEN</vt:lpwstr>
  </property>
  <property fmtid="{D5CDD505-2E9C-101B-9397-08002B2CF9AE}" pid="10" name="Trademark&amp;ProductType">
    <vt:lpwstr>AC</vt:lpwstr>
  </property>
</Properties>
</file>