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OLT</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SMU Upgrade Guide (CLI)</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2023-04-17</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4"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5"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6"/>
          <w:headerReference w:type="default" r:id="rId7"/>
          <w:footerReference w:type="even" r:id="rId8"/>
          <w:footerReference w:type="default" r:id="rId9"/>
          <w:headerReference w:type="first" r:id="rId10"/>
          <w:footerReference w:type="first" r:id="rId11"/>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526"/>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2023</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5"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341"/>
        <w:gridCol w:w="81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2" w:history="1">
              <w:r>
                <w:rPr>
                  <w:rStyle w:val="Hyperlink"/>
                  <w:lang w:val="pt-BR"/>
                </w:rPr>
                <w:t>https://www.huawei.com</w:t>
              </w:r>
            </w:hyperlink>
          </w:p>
        </w:tc>
      </w:tr>
      <w:tr>
        <w:tblPrEx>
          <w:tblW w:w="0" w:type="auto"/>
          <w:tblInd w:w="113" w:type="dxa"/>
          <w:tblLook w:val="01E0"/>
        </w:tblPrEx>
        <w:trPr>
          <w:trHeight w:val="240"/>
        </w:trPr>
        <w:tc>
          <w:tcPr>
            <w:tcW w:w="1155" w:type="dxa"/>
          </w:tcPr>
          <w:p>
            <w:pPr>
              <w:pStyle w:val="CoverText"/>
            </w:pPr>
            <w:r>
              <w:t>Email:</w:t>
            </w:r>
          </w:p>
        </w:tc>
        <w:bookmarkStart w:id="0" w:name="OLE_LINK2"/>
        <w:tc>
          <w:tcPr>
            <w:tcW w:w="8485" w:type="dxa"/>
          </w:tcPr>
          <w:p>
            <w:pPr>
              <w:pStyle w:val="CoverText"/>
            </w:pPr>
            <w:hyperlink r:id="rId13" w:history="1">
              <w:r>
                <w:rPr>
                  <w:rStyle w:val="Hyperlink"/>
                </w:rPr>
                <w:t>support@huawei.com</w:t>
              </w:r>
            </w:hyperlink>
            <w:bookmarkEnd w:id="0"/>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sectPr>
          <w:headerReference w:type="even" r:id="rId14"/>
          <w:headerReference w:type="default" r:id="rId15"/>
          <w:footerReference w:type="even" r:id="rId16"/>
          <w:footerReference w:type="default" r:id="rId17"/>
          <w:type w:val="nextPage"/>
          <w:pgSz w:w="11907" w:h="16840" w:code="9"/>
          <w:pgMar w:top="1701" w:right="1134" w:bottom="1701" w:left="1134" w:header="567" w:footer="567" w:gutter="0"/>
          <w:pgNumType w:fmt="lowerRoman" w:start="1"/>
          <w:cols w:space="425"/>
          <w:docGrid w:linePitch="312"/>
        </w:sectPr>
      </w:pPr>
    </w:p>
    <w:p>
      <w:pPr>
        <w:pStyle w:val="Heading1NoNumber"/>
      </w:pPr>
      <w:bookmarkStart w:id="1" w:name="_EN-US_TOPIC_0000001480220180-chtext"/>
      <w:bookmarkStart w:id="2" w:name="_Toc256000000"/>
      <w:r>
        <w:t>About This Document</w:t>
      </w:r>
      <w:bookmarkEnd w:id="2"/>
      <w:bookmarkEnd w:id="1"/>
    </w:p>
    <w:p>
      <w:pPr>
        <w:pStyle w:val="Heading2NoNumber"/>
      </w:pPr>
      <w:r>
        <w:t>Purpose</w:t>
      </w:r>
    </w:p>
    <w:p>
      <w:r>
        <w:t>This document describes how to upgrade the software of the site monitoring unit (SMU) for the MA5800 and  series devices in terms of precautions, process, preparations, check, and operations. It also describes how to downgrade the software version when an exception occurs during the upgrade and how to handle common exceptions.</w:t>
      </w:r>
    </w:p>
    <w:p>
      <w:pPr>
        <w:pStyle w:val="Heading2NoNumber"/>
      </w:pPr>
      <w:r>
        <w:t>Product Version</w:t>
      </w:r>
    </w:p>
    <w:p>
      <w:r>
        <w:t>The following table lists the product version related to this document.</w:t>
      </w:r>
    </w:p>
    <w:tbl>
      <w:tblPr>
        <w:tblStyle w:val="Table"/>
        <w:tblW w:w="7938" w:type="dxa"/>
        <w:tblInd w:w="1814" w:type="dxa"/>
        <w:tblLayout w:type="fixed"/>
        <w:tblLook w:val="01E0"/>
      </w:tblPr>
      <w:tblGrid>
        <w:gridCol w:w="1440"/>
        <w:gridCol w:w="1440"/>
      </w:tblGrid>
      <w:tr>
        <w:tblPrEx>
          <w:tblW w:w="7938" w:type="dxa"/>
          <w:tblInd w:w="1814" w:type="dxa"/>
          <w:tblLayout w:type="fixed"/>
          <w:tblLook w:val="01E0"/>
        </w:tblPrEx>
        <w:trPr>
          <w:cantSplit w:val="0"/>
          <w:tblHeader/>
        </w:trPr>
        <w:tc>
          <w:tcPr>
            <w:tcW w:w="1313" w:type="pct"/>
            <w:tcBorders>
              <w:top w:val="single" w:sz="6" w:space="0" w:color="000000"/>
              <w:bottom w:val="single" w:sz="6" w:space="0" w:color="000000"/>
              <w:right w:val="single" w:sz="6" w:space="0" w:color="000000"/>
            </w:tcBorders>
            <w:shd w:val="clear" w:color="auto" w:fill="D9D9D9"/>
          </w:tcPr>
          <w:p>
            <w:pPr>
              <w:pStyle w:val="TableHeading"/>
            </w:pPr>
            <w:r>
              <w:t>Product Name</w:t>
            </w:r>
          </w:p>
        </w:tc>
        <w:tc>
          <w:tcPr>
            <w:tcW w:w="3687" w:type="pct"/>
            <w:tcBorders>
              <w:top w:val="single" w:sz="6" w:space="0" w:color="000000"/>
              <w:bottom w:val="single" w:sz="6" w:space="0" w:color="000000"/>
            </w:tcBorders>
            <w:shd w:val="clear" w:color="auto" w:fill="D9D9D9"/>
          </w:tcPr>
          <w:p>
            <w:pPr>
              <w:pStyle w:val="TableHeading"/>
            </w:pPr>
            <w:r>
              <w:t>Product Version</w:t>
            </w:r>
          </w:p>
        </w:tc>
      </w:tr>
      <w:tr>
        <w:tblPrEx>
          <w:tblW w:w="7938" w:type="dxa"/>
          <w:tblInd w:w="1814" w:type="dxa"/>
          <w:tblLayout w:type="fixed"/>
          <w:tblLook w:val="01E0"/>
        </w:tblPrEx>
        <w:trPr>
          <w:cantSplit w:val="0"/>
        </w:trPr>
        <w:tc>
          <w:tcPr>
            <w:tcW w:w="1313" w:type="pct"/>
            <w:tcBorders>
              <w:top w:val="single" w:sz="6" w:space="0" w:color="000000"/>
              <w:bottom w:val="single" w:sz="6" w:space="0" w:color="000000"/>
              <w:right w:val="single" w:sz="6" w:space="0" w:color="000000"/>
            </w:tcBorders>
          </w:tcPr>
          <w:p>
            <w:pPr>
              <w:pStyle w:val="TableText"/>
            </w:pPr>
            <w:r>
              <w:t>MA5800 and  series</w:t>
            </w:r>
          </w:p>
        </w:tc>
        <w:tc>
          <w:tcPr>
            <w:tcW w:w="3687" w:type="pct"/>
            <w:tcBorders>
              <w:top w:val="single" w:sz="6" w:space="0" w:color="000000"/>
              <w:bottom w:val="single" w:sz="6" w:space="0" w:color="000000"/>
            </w:tcBorders>
          </w:tcPr>
          <w:p>
            <w:pPr>
              <w:pStyle w:val="TableText"/>
            </w:pPr>
            <w:r>
              <w:t>The target version is V100R022C10 or later.</w:t>
            </w:r>
          </w:p>
        </w:tc>
      </w:tr>
    </w:tbl>
    <w:p/>
    <w:p>
      <w:pPr>
        <w:pStyle w:val="Heading2NoNumber"/>
      </w:pPr>
      <w:r>
        <w:t>Intended Audience</w:t>
      </w:r>
    </w:p>
    <w:p>
      <w:r>
        <w:t>This document is intended for:</w:t>
      </w:r>
    </w:p>
    <w:p>
      <w:pPr>
        <w:pStyle w:val="ItemList"/>
      </w:pPr>
      <w:r>
        <w:t>Technical support engineers</w:t>
      </w:r>
    </w:p>
    <w:p>
      <w:pPr>
        <w:pStyle w:val="ItemList"/>
      </w:pPr>
      <w:r>
        <w:t>Maintenance engineers</w:t>
      </w:r>
    </w:p>
    <w:p>
      <w:pPr>
        <w:pStyle w:val="Heading2NoNumber"/>
      </w:pPr>
      <w:r>
        <w:t>Symbol Conventions</w:t>
      </w:r>
    </w:p>
    <w:p>
      <w:r>
        <w:t>The symbols that may be found in this document are defined as follows.</w:t>
      </w:r>
    </w:p>
    <w:tbl>
      <w:tblPr>
        <w:tblStyle w:val="Table"/>
        <w:tblW w:w="7938" w:type="dxa"/>
        <w:tblInd w:w="1814" w:type="dxa"/>
        <w:tblLayout w:type="fixed"/>
        <w:tblLook w:val="01E0"/>
      </w:tblPr>
      <w:tblGrid>
        <w:gridCol w:w="1440"/>
        <w:gridCol w:w="1440"/>
        <w:gridCol w:w="360"/>
      </w:tblGrid>
      <w:tr>
        <w:tblPrEx>
          <w:tblW w:w="7938" w:type="dxa"/>
          <w:tblInd w:w="1814" w:type="dxa"/>
          <w:tblLayout w:type="fixed"/>
          <w:tblLook w:val="01E0"/>
        </w:tblPrEx>
        <w:trPr>
          <w:cantSplit w:val="0"/>
          <w:tblHeader/>
        </w:trPr>
        <w:tc>
          <w:tcPr>
            <w:tcW w:w="2294" w:type="pct"/>
            <w:tcBorders>
              <w:top w:val="single" w:sz="6" w:space="0" w:color="000000"/>
              <w:bottom w:val="single" w:sz="6" w:space="0" w:color="000000"/>
              <w:right w:val="single" w:sz="6" w:space="0" w:color="000000"/>
            </w:tcBorders>
            <w:shd w:val="clear" w:color="auto" w:fill="D9D9D9"/>
          </w:tcPr>
          <w:p>
            <w:pPr>
              <w:pStyle w:val="TableHeading"/>
            </w:pPr>
            <w:r>
              <w:rPr>
                <w:b/>
              </w:rPr>
              <w:t>Symbol</w:t>
            </w:r>
          </w:p>
        </w:tc>
        <w:tc>
          <w:tcPr>
            <w:tcW w:w="2705" w:type="pct"/>
            <w:gridSpan w:val="2"/>
            <w:tcBorders>
              <w:top w:val="single" w:sz="6" w:space="0" w:color="000000"/>
              <w:bottom w:val="single" w:sz="6" w:space="0" w:color="000000"/>
              <w:right w:val="single" w:sz="6" w:space="0" w:color="000000"/>
            </w:tcBorders>
            <w:shd w:val="clear" w:color="auto" w:fill="D9D9D9"/>
          </w:tcPr>
          <w:p>
            <w:pPr>
              <w:pStyle w:val="TableHeading"/>
            </w:pPr>
            <w:r>
              <w:rPr>
                <w:b/>
              </w:rPr>
              <w:t>Description</w:t>
            </w:r>
          </w:p>
        </w:tc>
      </w:tr>
      <w:tr>
        <w:tblPrEx>
          <w:tblW w:w="7938" w:type="dxa"/>
          <w:tblInd w:w="1814" w:type="dxa"/>
          <w:tblLayout w:type="fixed"/>
          <w:tblLook w:val="01E0"/>
        </w:tblPrEx>
        <w:trPr>
          <w:cantSplit w:val="0"/>
        </w:trPr>
        <w:tc>
          <w:tcPr>
            <w:tcW w:w="2508" w:type="pct"/>
            <w:gridSpan w:val="2"/>
            <w:tcBorders>
              <w:top w:val="single" w:sz="6" w:space="0" w:color="000000"/>
              <w:bottom w:val="single" w:sz="6" w:space="0" w:color="000000"/>
              <w:right w:val="single" w:sz="6" w:space="0" w:color="000000"/>
            </w:tcBorders>
          </w:tcPr>
          <w:p>
            <w:pPr>
              <w:pStyle w:val="TableText"/>
            </w:pPr>
            <w:r>
              <w:pict>
                <v:shape id="_x0000_i1029" type="#_x0000_t75" style="width:78pt;height:28.74pt">
                  <v:imagedata r:id="rId18" o:title=""/>
                </v:shape>
              </w:pict>
            </w:r>
          </w:p>
        </w:tc>
        <w:tc>
          <w:tcPr>
            <w:tcW w:w="2491" w:type="pct"/>
            <w:tcBorders>
              <w:top w:val="single" w:sz="6" w:space="0" w:color="000000"/>
              <w:bottom w:val="single" w:sz="6" w:space="0" w:color="000000"/>
              <w:right w:val="single" w:sz="6" w:space="0" w:color="000000"/>
            </w:tcBorders>
          </w:tcPr>
          <w:p>
            <w:pPr>
              <w:pStyle w:val="TableText"/>
            </w:pPr>
            <w:r>
              <w:t>Indicates a hazard with a high level of risk which, if not avoided, will result in death or serious injury.</w:t>
            </w:r>
          </w:p>
        </w:tc>
      </w:tr>
      <w:tr>
        <w:tblPrEx>
          <w:tblW w:w="7938" w:type="dxa"/>
          <w:tblInd w:w="1814" w:type="dxa"/>
          <w:tblLayout w:type="fixed"/>
          <w:tblLook w:val="01E0"/>
        </w:tblPrEx>
        <w:trPr>
          <w:cantSplit w:val="0"/>
        </w:trPr>
        <w:tc>
          <w:tcPr>
            <w:tcW w:w="2508" w:type="pct"/>
            <w:gridSpan w:val="2"/>
            <w:tcBorders>
              <w:top w:val="single" w:sz="6" w:space="0" w:color="000000"/>
              <w:bottom w:val="single" w:sz="6" w:space="0" w:color="000000"/>
              <w:right w:val="single" w:sz="6" w:space="0" w:color="000000"/>
            </w:tcBorders>
          </w:tcPr>
          <w:p>
            <w:pPr>
              <w:pStyle w:val="TableText"/>
            </w:pPr>
            <w:r>
              <w:pict>
                <v:shape id="_x0000_i1030" type="#_x0000_t75" style="width:78pt;height:28.74pt">
                  <v:imagedata r:id="rId19" o:title=""/>
                </v:shape>
              </w:pict>
            </w:r>
          </w:p>
        </w:tc>
        <w:tc>
          <w:tcPr>
            <w:tcW w:w="2491" w:type="pct"/>
            <w:tcBorders>
              <w:top w:val="single" w:sz="6" w:space="0" w:color="000000"/>
              <w:bottom w:val="single" w:sz="6" w:space="0" w:color="000000"/>
              <w:right w:val="single" w:sz="6" w:space="0" w:color="000000"/>
            </w:tcBorders>
          </w:tcPr>
          <w:p>
            <w:pPr>
              <w:pStyle w:val="TableText"/>
            </w:pPr>
            <w:r>
              <w:t>Indicates a hazard with a medium level of risk which, if not avoided, could result in death or serious injury.</w:t>
            </w:r>
          </w:p>
        </w:tc>
      </w:tr>
      <w:tr>
        <w:tblPrEx>
          <w:tblW w:w="7938" w:type="dxa"/>
          <w:tblInd w:w="1814" w:type="dxa"/>
          <w:tblLayout w:type="fixed"/>
          <w:tblLook w:val="01E0"/>
        </w:tblPrEx>
        <w:trPr>
          <w:cantSplit w:val="0"/>
        </w:trPr>
        <w:tc>
          <w:tcPr>
            <w:tcW w:w="2508" w:type="pct"/>
            <w:gridSpan w:val="2"/>
            <w:tcBorders>
              <w:top w:val="single" w:sz="6" w:space="0" w:color="000000"/>
              <w:bottom w:val="single" w:sz="6" w:space="0" w:color="000000"/>
              <w:right w:val="single" w:sz="6" w:space="0" w:color="000000"/>
            </w:tcBorders>
          </w:tcPr>
          <w:p>
            <w:pPr>
              <w:pStyle w:val="TableText"/>
            </w:pPr>
            <w:r>
              <w:pict>
                <v:shape id="_x0000_i1031" type="#_x0000_t75" style="width:78.75pt;height:29.01pt">
                  <v:imagedata r:id="rId20" o:title=""/>
                </v:shape>
              </w:pict>
            </w:r>
          </w:p>
        </w:tc>
        <w:tc>
          <w:tcPr>
            <w:tcW w:w="2491" w:type="pct"/>
            <w:tcBorders>
              <w:top w:val="single" w:sz="6" w:space="0" w:color="000000"/>
              <w:bottom w:val="single" w:sz="6" w:space="0" w:color="000000"/>
              <w:right w:val="single" w:sz="6" w:space="0" w:color="000000"/>
            </w:tcBorders>
          </w:tcPr>
          <w:p>
            <w:pPr>
              <w:pStyle w:val="TableText"/>
            </w:pPr>
            <w:r>
              <w:t>Indicates a hazard with a low level of risk which, if not avoided, could result in minor or moderate injury.</w:t>
            </w:r>
          </w:p>
        </w:tc>
      </w:tr>
      <w:tr>
        <w:tblPrEx>
          <w:tblW w:w="7938" w:type="dxa"/>
          <w:tblInd w:w="1814" w:type="dxa"/>
          <w:tblLayout w:type="fixed"/>
          <w:tblLook w:val="01E0"/>
        </w:tblPrEx>
        <w:trPr>
          <w:cantSplit w:val="0"/>
        </w:trPr>
        <w:tc>
          <w:tcPr>
            <w:tcW w:w="2508" w:type="pct"/>
            <w:gridSpan w:val="2"/>
            <w:tcBorders>
              <w:top w:val="single" w:sz="6" w:space="0" w:color="000000"/>
              <w:bottom w:val="single" w:sz="6" w:space="0" w:color="000000"/>
              <w:right w:val="single" w:sz="6" w:space="0" w:color="000000"/>
            </w:tcBorders>
          </w:tcPr>
          <w:p>
            <w:pPr>
              <w:pStyle w:val="TableText"/>
            </w:pPr>
            <w:r>
              <w:pict>
                <v:shape id="_x0000_i1032" type="#_x0000_t75" style="width:78.75pt;height:29.01pt">
                  <v:imagedata r:id="rId21" o:title=""/>
                </v:shape>
              </w:pict>
            </w:r>
          </w:p>
        </w:tc>
        <w:tc>
          <w:tcPr>
            <w:tcW w:w="2491" w:type="pct"/>
            <w:tcBorders>
              <w:top w:val="single" w:sz="6" w:space="0" w:color="000000"/>
              <w:bottom w:val="single" w:sz="6" w:space="0" w:color="000000"/>
              <w:right w:val="single" w:sz="6" w:space="0" w:color="000000"/>
            </w:tcBorders>
          </w:tcPr>
          <w:p>
            <w:pPr>
              <w:pStyle w:val="TableText"/>
            </w:pPr>
            <w:r>
              <w:t>Indicates a potentially hazardous situation which, if not avoided, could result in equipment damage, data loss, performance deterioration, or unanticipated results.</w:t>
            </w:r>
          </w:p>
          <w:p>
            <w:pPr>
              <w:pStyle w:val="TableText"/>
            </w:pPr>
            <w:r>
              <w:rPr>
                <w:b/>
              </w:rPr>
              <w:t>NOTICE</w:t>
            </w:r>
            <w:r>
              <w:t xml:space="preserve"> is used to address practices not related to personal injury.</w:t>
            </w:r>
          </w:p>
        </w:tc>
      </w:tr>
      <w:tr>
        <w:tblPrEx>
          <w:tblW w:w="7938" w:type="dxa"/>
          <w:tblInd w:w="1814" w:type="dxa"/>
          <w:tblLayout w:type="fixed"/>
          <w:tblLook w:val="01E0"/>
        </w:tblPrEx>
        <w:trPr>
          <w:cantSplit w:val="0"/>
        </w:trPr>
        <w:tc>
          <w:tcPr>
            <w:tcW w:w="2508" w:type="pct"/>
            <w:gridSpan w:val="2"/>
            <w:tcBorders>
              <w:top w:val="single" w:sz="6" w:space="0" w:color="000000"/>
              <w:bottom w:val="single" w:sz="6" w:space="0" w:color="000000"/>
              <w:right w:val="single" w:sz="6" w:space="0" w:color="000000"/>
            </w:tcBorders>
          </w:tcPr>
          <w:p>
            <w:pPr>
              <w:pStyle w:val="TableText"/>
            </w:pPr>
            <w:r>
              <w:pict>
                <v:shape id="_x0000_i1033" type="#_x0000_t75" style="width:79.92pt;height:28.08pt">
                  <v:imagedata r:id="rId22" o:title=""/>
                </v:shape>
              </w:pict>
            </w:r>
          </w:p>
        </w:tc>
        <w:tc>
          <w:tcPr>
            <w:tcW w:w="2491" w:type="pct"/>
            <w:tcBorders>
              <w:top w:val="single" w:sz="6" w:space="0" w:color="000000"/>
              <w:bottom w:val="single" w:sz="6" w:space="0" w:color="000000"/>
              <w:right w:val="single" w:sz="6" w:space="0" w:color="000000"/>
            </w:tcBorders>
          </w:tcPr>
          <w:p>
            <w:pPr>
              <w:pStyle w:val="TableText"/>
            </w:pPr>
            <w:r>
              <w:t>Supplements the important information in the main text.</w:t>
            </w:r>
          </w:p>
          <w:p>
            <w:pPr>
              <w:pStyle w:val="TableText"/>
            </w:pPr>
            <w:r>
              <w:t>NOTE is used to address information not related to personal injury, equipment damage, and environment deterioration.</w:t>
            </w:r>
          </w:p>
        </w:tc>
      </w:tr>
    </w:tbl>
    <w:p/>
    <w:p>
      <w:pPr>
        <w:pStyle w:val="Heading2NoNumber"/>
      </w:pPr>
      <w:r>
        <w:t>Change History</w:t>
      </w:r>
    </w:p>
    <w:p>
      <w:r>
        <w:t>Changes between document issues are cumulative. Therefore, the latest document issue contains all updates made in previous issues.</w:t>
      </w:r>
    </w:p>
    <w:tbl>
      <w:tblPr>
        <w:tblStyle w:val="Table"/>
        <w:tblW w:w="7938" w:type="dxa"/>
        <w:tblInd w:w="1814" w:type="dxa"/>
        <w:tblLayout w:type="fixed"/>
        <w:tblLook w:val="01E0"/>
      </w:tblPr>
      <w:tblGrid>
        <w:gridCol w:w="1440"/>
        <w:gridCol w:w="1440"/>
        <w:gridCol w:w="1440"/>
      </w:tblGrid>
      <w:tr>
        <w:tblPrEx>
          <w:tblW w:w="7938" w:type="dxa"/>
          <w:tblInd w:w="1814" w:type="dxa"/>
          <w:tblLayout w:type="fixed"/>
          <w:tblLook w:val="01E0"/>
        </w:tblPrEx>
        <w:trPr>
          <w:cantSplit w:val="0"/>
          <w:tblHeader/>
        </w:trPr>
        <w:tc>
          <w:tcPr>
            <w:tcW w:w="1035" w:type="pct"/>
            <w:tcBorders>
              <w:top w:val="single" w:sz="6" w:space="0" w:color="000000"/>
              <w:bottom w:val="single" w:sz="6" w:space="0" w:color="000000"/>
              <w:right w:val="single" w:sz="6" w:space="0" w:color="000000"/>
            </w:tcBorders>
            <w:shd w:val="clear" w:color="auto" w:fill="D9D9D9"/>
          </w:tcPr>
          <w:p>
            <w:pPr>
              <w:pStyle w:val="TableHeading"/>
            </w:pPr>
            <w:r>
              <w:rPr>
                <w:b/>
              </w:rPr>
              <w:t>Issue</w:t>
            </w:r>
          </w:p>
        </w:tc>
        <w:tc>
          <w:tcPr>
            <w:tcW w:w="1268" w:type="pct"/>
            <w:tcBorders>
              <w:top w:val="single" w:sz="6" w:space="0" w:color="000000"/>
              <w:bottom w:val="single" w:sz="6" w:space="0" w:color="000000"/>
              <w:right w:val="single" w:sz="6" w:space="0" w:color="000000"/>
            </w:tcBorders>
            <w:shd w:val="clear" w:color="auto" w:fill="D9D9D9"/>
          </w:tcPr>
          <w:p>
            <w:pPr>
              <w:pStyle w:val="TableHeading"/>
            </w:pPr>
            <w:r>
              <w:rPr>
                <w:b/>
              </w:rPr>
              <w:t>Date</w:t>
            </w:r>
          </w:p>
        </w:tc>
        <w:tc>
          <w:tcPr>
            <w:tcW w:w="2695" w:type="pct"/>
            <w:tcBorders>
              <w:top w:val="single" w:sz="6" w:space="0" w:color="000000"/>
              <w:bottom w:val="single" w:sz="6" w:space="0" w:color="000000"/>
            </w:tcBorders>
            <w:shd w:val="clear" w:color="auto" w:fill="D9D9D9"/>
          </w:tcPr>
          <w:p>
            <w:pPr>
              <w:pStyle w:val="TableHeading"/>
            </w:pPr>
            <w:r>
              <w:rPr>
                <w:b/>
              </w:rPr>
              <w:t>Description</w:t>
            </w:r>
          </w:p>
        </w:tc>
      </w:tr>
      <w:tr>
        <w:tblPrEx>
          <w:tblW w:w="7938" w:type="dxa"/>
          <w:tblInd w:w="1814" w:type="dxa"/>
          <w:tblLayout w:type="fixed"/>
          <w:tblLook w:val="01E0"/>
        </w:tblPrEx>
        <w:trPr>
          <w:cantSplit w:val="0"/>
        </w:trPr>
        <w:tc>
          <w:tcPr>
            <w:tcW w:w="1035" w:type="pct"/>
            <w:tcBorders>
              <w:top w:val="single" w:sz="6" w:space="0" w:color="000000"/>
              <w:bottom w:val="single" w:sz="6" w:space="0" w:color="000000"/>
              <w:right w:val="single" w:sz="6" w:space="0" w:color="000000"/>
            </w:tcBorders>
          </w:tcPr>
          <w:p>
            <w:pPr>
              <w:pStyle w:val="TableText"/>
            </w:pPr>
            <w:r>
              <w:t>01</w:t>
            </w:r>
          </w:p>
        </w:tc>
        <w:tc>
          <w:tcPr>
            <w:tcW w:w="1268" w:type="pct"/>
            <w:tcBorders>
              <w:top w:val="single" w:sz="6" w:space="0" w:color="000000"/>
              <w:bottom w:val="single" w:sz="6" w:space="0" w:color="000000"/>
              <w:right w:val="single" w:sz="6" w:space="0" w:color="000000"/>
            </w:tcBorders>
          </w:tcPr>
          <w:p>
            <w:pPr>
              <w:pStyle w:val="TableText"/>
            </w:pPr>
            <w:r>
              <w:t>2023-04-17</w:t>
            </w:r>
          </w:p>
        </w:tc>
        <w:tc>
          <w:tcPr>
            <w:tcW w:w="2695" w:type="pct"/>
            <w:tcBorders>
              <w:top w:val="single" w:sz="6" w:space="0" w:color="000000"/>
              <w:bottom w:val="single" w:sz="6" w:space="0" w:color="000000"/>
            </w:tcBorders>
          </w:tcPr>
          <w:p>
            <w:pPr>
              <w:pStyle w:val="TableText"/>
            </w:pPr>
            <w:r>
              <w:t>This issue is the first official release.</w:t>
            </w:r>
          </w:p>
        </w:tc>
      </w:tr>
    </w:tbl>
    <w:p>
      <w:pPr>
        <w:sectPr>
          <w:headerReference w:type="even" r:id="rId23"/>
          <w:headerReference w:type="default" r:id="rId24"/>
          <w:footerReference w:type="even" r:id="rId25"/>
          <w:footerReference w:type="default" r:id="rId26"/>
          <w:type w:val="nextPage"/>
          <w:pgSz w:w="11907" w:h="16840" w:code="9"/>
          <w:pgMar w:top="1701" w:right="1134" w:bottom="1701" w:left="1134" w:header="567" w:footer="567" w:gutter="0"/>
          <w:pgNumType w:fmt="lowerRoman"/>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About This Document</w:t>
        </w:r>
        <w:r>
          <w:tab/>
        </w:r>
        <w:r>
          <w:fldChar w:fldCharType="begin"/>
        </w:r>
        <w:r>
          <w:instrText xml:space="preserve"> PAGEREF _Toc256000000 \h </w:instrText>
        </w:r>
        <w:r>
          <w:fldChar w:fldCharType="separate"/>
        </w:r>
        <w:r>
          <w:t>ii</w:t>
        </w:r>
        <w:r>
          <w:fldChar w:fldCharType="end"/>
        </w:r>
      </w:hyperlink>
    </w:p>
    <w:p>
      <w:pPr>
        <w:pStyle w:val="TOC1"/>
        <w:tabs>
          <w:tab w:val="right" w:leader="dot" w:pos="9629"/>
        </w:tabs>
        <w:rPr>
          <w:rFonts w:ascii="Calibri" w:hAnsi="Calibri"/>
          <w:noProof/>
          <w:sz w:val="22"/>
        </w:rPr>
      </w:pPr>
      <w:hyperlink w:anchor="_Toc256000001" w:history="1">
        <w:r>
          <w:rPr>
            <w:rStyle w:val="Hyperlink"/>
          </w:rPr>
          <w:t>1</w:t>
        </w:r>
        <w:r>
          <w:rPr>
            <w:rStyle w:val="Hyperlink"/>
          </w:rPr>
          <w:t xml:space="preserve"> </w:t>
        </w:r>
        <w:r>
          <w:rPr>
            <w:rStyle w:val="Hyperlink"/>
          </w:rPr>
          <w:t>Before You Start</w:t>
        </w:r>
        <w:r>
          <w:tab/>
        </w:r>
        <w:r>
          <w:fldChar w:fldCharType="begin"/>
        </w:r>
        <w:r>
          <w:instrText xml:space="preserve"> PAGEREF _Toc256000001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1.1</w:t>
        </w:r>
        <w:r>
          <w:rPr>
            <w:rStyle w:val="Hyperlink"/>
            <w:snapToGrid w:val="0"/>
          </w:rPr>
          <w:t xml:space="preserve"> </w:t>
        </w:r>
        <w:r>
          <w:rPr>
            <w:rStyle w:val="Hyperlink"/>
          </w:rPr>
          <w:t>Upgrade Version Requirements</w:t>
        </w:r>
        <w:r>
          <w:tab/>
        </w:r>
        <w:r>
          <w:fldChar w:fldCharType="begin"/>
        </w:r>
        <w:r>
          <w:instrText xml:space="preserve"> PAGEREF _Toc256000002 \h </w:instrText>
        </w:r>
        <w:r>
          <w:fldChar w:fldCharType="separate"/>
        </w:r>
        <w:r>
          <w:t>1</w:t>
        </w:r>
        <w:r>
          <w:fldChar w:fldCharType="end"/>
        </w:r>
      </w:hyperlink>
    </w:p>
    <w:p>
      <w:pPr>
        <w:pStyle w:val="TOC3"/>
        <w:tabs>
          <w:tab w:val="right" w:leader="dot" w:pos="9629"/>
        </w:tabs>
        <w:rPr>
          <w:rFonts w:ascii="Calibri" w:hAnsi="Calibri"/>
          <w:noProof/>
          <w:sz w:val="22"/>
        </w:rPr>
      </w:pPr>
      <w:hyperlink w:anchor="_Toc256000003" w:history="1">
        <w:r>
          <w:rPr>
            <w:rStyle w:val="Hyperlink"/>
            <w:rFonts w:cs="Book Antiqua"/>
            <w:snapToGrid w:val="0"/>
          </w:rPr>
          <w:t>1.1.1</w:t>
        </w:r>
        <w:r>
          <w:rPr>
            <w:rStyle w:val="Hyperlink"/>
            <w:rFonts w:cs="Book Antiqua"/>
            <w:snapToGrid w:val="0"/>
          </w:rPr>
          <w:t xml:space="preserve"> </w:t>
        </w:r>
        <w:r>
          <w:rPr>
            <w:rStyle w:val="Hyperlink"/>
          </w:rPr>
          <w:t>OLT Source Version</w:t>
        </w:r>
        <w:r>
          <w:tab/>
        </w:r>
        <w:r>
          <w:fldChar w:fldCharType="begin"/>
        </w:r>
        <w:r>
          <w:instrText xml:space="preserve"> PAGEREF _Toc256000003 \h </w:instrText>
        </w:r>
        <w:r>
          <w:fldChar w:fldCharType="separate"/>
        </w:r>
        <w:r>
          <w:t>1</w:t>
        </w:r>
        <w:r>
          <w:fldChar w:fldCharType="end"/>
        </w:r>
      </w:hyperlink>
    </w:p>
    <w:p>
      <w:pPr>
        <w:pStyle w:val="TOC3"/>
        <w:tabs>
          <w:tab w:val="right" w:leader="dot" w:pos="9629"/>
        </w:tabs>
        <w:rPr>
          <w:rFonts w:ascii="Calibri" w:hAnsi="Calibri"/>
          <w:noProof/>
          <w:sz w:val="22"/>
        </w:rPr>
      </w:pPr>
      <w:hyperlink w:anchor="_Toc256000004" w:history="1">
        <w:r>
          <w:rPr>
            <w:rStyle w:val="Hyperlink"/>
            <w:rFonts w:cs="Book Antiqua"/>
            <w:snapToGrid w:val="0"/>
          </w:rPr>
          <w:t>1.1.2</w:t>
        </w:r>
        <w:r>
          <w:rPr>
            <w:rStyle w:val="Hyperlink"/>
            <w:rFonts w:cs="Book Antiqua"/>
            <w:snapToGrid w:val="0"/>
          </w:rPr>
          <w:t xml:space="preserve"> </w:t>
        </w:r>
        <w:r>
          <w:rPr>
            <w:rStyle w:val="Hyperlink"/>
          </w:rPr>
          <w:t>SMU Software Version</w:t>
        </w:r>
        <w:r>
          <w:tab/>
        </w:r>
        <w:r>
          <w:fldChar w:fldCharType="begin"/>
        </w:r>
        <w:r>
          <w:instrText xml:space="preserve"> PAGEREF _Toc256000004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1.2</w:t>
        </w:r>
        <w:r>
          <w:rPr>
            <w:rStyle w:val="Hyperlink"/>
            <w:snapToGrid w:val="0"/>
          </w:rPr>
          <w:t xml:space="preserve"> </w:t>
        </w:r>
        <w:r>
          <w:rPr>
            <w:rStyle w:val="Hyperlink"/>
          </w:rPr>
          <w:t>Scenario Description</w:t>
        </w:r>
        <w:r>
          <w:tab/>
        </w:r>
        <w:r>
          <w:fldChar w:fldCharType="begin"/>
        </w:r>
        <w:r>
          <w:instrText xml:space="preserve"> PAGEREF _Toc256000005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6" w:history="1">
        <w:r>
          <w:rPr>
            <w:rStyle w:val="Hyperlink"/>
            <w:snapToGrid w:val="0"/>
          </w:rPr>
          <w:t>1.3</w:t>
        </w:r>
        <w:r>
          <w:rPr>
            <w:rStyle w:val="Hyperlink"/>
            <w:snapToGrid w:val="0"/>
          </w:rPr>
          <w:t xml:space="preserve"> </w:t>
        </w:r>
        <w:r>
          <w:rPr>
            <w:rStyle w:val="Hyperlink"/>
          </w:rPr>
          <w:t>Upgrade Impact</w:t>
        </w:r>
        <w:r>
          <w:tab/>
        </w:r>
        <w:r>
          <w:fldChar w:fldCharType="begin"/>
        </w:r>
        <w:r>
          <w:instrText xml:space="preserve"> PAGEREF _Toc256000006 \h </w:instrText>
        </w:r>
        <w:r>
          <w:fldChar w:fldCharType="separate"/>
        </w:r>
        <w:r>
          <w:t>2</w:t>
        </w:r>
        <w:r>
          <w:fldChar w:fldCharType="end"/>
        </w:r>
      </w:hyperlink>
    </w:p>
    <w:p>
      <w:pPr>
        <w:pStyle w:val="TOC1"/>
        <w:tabs>
          <w:tab w:val="right" w:leader="dot" w:pos="9629"/>
        </w:tabs>
        <w:rPr>
          <w:rFonts w:ascii="Calibri" w:hAnsi="Calibri"/>
          <w:noProof/>
          <w:sz w:val="22"/>
        </w:rPr>
      </w:pPr>
      <w:hyperlink w:anchor="_Toc256000007" w:history="1">
        <w:r>
          <w:rPr>
            <w:rStyle w:val="Hyperlink"/>
          </w:rPr>
          <w:t>2</w:t>
        </w:r>
        <w:r>
          <w:rPr>
            <w:rStyle w:val="Hyperlink"/>
          </w:rPr>
          <w:t xml:space="preserve"> </w:t>
        </w:r>
        <w:r>
          <w:rPr>
            <w:rStyle w:val="Hyperlink"/>
          </w:rPr>
          <w:t>Upgrade Flowchart</w:t>
        </w:r>
        <w:r>
          <w:tab/>
        </w:r>
        <w:r>
          <w:fldChar w:fldCharType="begin"/>
        </w:r>
        <w:r>
          <w:instrText xml:space="preserve"> PAGEREF _Toc256000007 \h </w:instrText>
        </w:r>
        <w:r>
          <w:fldChar w:fldCharType="separate"/>
        </w:r>
        <w:r>
          <w:t>3</w:t>
        </w:r>
        <w:r>
          <w:fldChar w:fldCharType="end"/>
        </w:r>
      </w:hyperlink>
    </w:p>
    <w:p>
      <w:pPr>
        <w:pStyle w:val="TOC1"/>
        <w:tabs>
          <w:tab w:val="right" w:leader="dot" w:pos="9629"/>
        </w:tabs>
        <w:rPr>
          <w:rFonts w:ascii="Calibri" w:hAnsi="Calibri"/>
          <w:noProof/>
          <w:sz w:val="22"/>
        </w:rPr>
      </w:pPr>
      <w:hyperlink w:anchor="_Toc256000008" w:history="1">
        <w:r>
          <w:rPr>
            <w:rStyle w:val="Hyperlink"/>
          </w:rPr>
          <w:t>3</w:t>
        </w:r>
        <w:r>
          <w:rPr>
            <w:rStyle w:val="Hyperlink"/>
          </w:rPr>
          <w:t xml:space="preserve"> </w:t>
        </w:r>
        <w:r>
          <w:rPr>
            <w:rStyle w:val="Hyperlink"/>
          </w:rPr>
          <w:t>Upgrade Preparations</w:t>
        </w:r>
        <w:r>
          <w:tab/>
        </w:r>
        <w:r>
          <w:fldChar w:fldCharType="begin"/>
        </w:r>
        <w:r>
          <w:instrText xml:space="preserve"> PAGEREF _Toc256000008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3.1</w:t>
        </w:r>
        <w:r>
          <w:rPr>
            <w:rStyle w:val="Hyperlink"/>
            <w:snapToGrid w:val="0"/>
          </w:rPr>
          <w:t xml:space="preserve"> </w:t>
        </w:r>
        <w:r>
          <w:rPr>
            <w:rStyle w:val="Hyperlink"/>
          </w:rPr>
          <w:t>Preparing Files and Materials Required for the Upgrade</w:t>
        </w:r>
        <w:r>
          <w:tab/>
        </w:r>
        <w:r>
          <w:fldChar w:fldCharType="begin"/>
        </w:r>
        <w:r>
          <w:instrText xml:space="preserve"> PAGEREF _Toc256000009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3.2</w:t>
        </w:r>
        <w:r>
          <w:rPr>
            <w:rStyle w:val="Hyperlink"/>
            <w:snapToGrid w:val="0"/>
          </w:rPr>
          <w:t xml:space="preserve"> </w:t>
        </w:r>
        <w:r>
          <w:rPr>
            <w:rStyle w:val="Hyperlink"/>
          </w:rPr>
          <w:t>Configuring the File Transfer Mode</w:t>
        </w:r>
        <w:r>
          <w:tab/>
        </w:r>
        <w:r>
          <w:fldChar w:fldCharType="begin"/>
        </w:r>
        <w:r>
          <w:instrText xml:space="preserve"> PAGEREF _Toc256000010 \h </w:instrText>
        </w:r>
        <w:r>
          <w:fldChar w:fldCharType="separate"/>
        </w:r>
        <w:r>
          <w:t>5</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3.3</w:t>
        </w:r>
        <w:r>
          <w:rPr>
            <w:rStyle w:val="Hyperlink"/>
            <w:snapToGrid w:val="0"/>
          </w:rPr>
          <w:t xml:space="preserve"> </w:t>
        </w:r>
        <w:r>
          <w:rPr>
            <w:rStyle w:val="Hyperlink"/>
          </w:rPr>
          <w:t>Pre-upgrade Check</w:t>
        </w:r>
        <w:r>
          <w:tab/>
        </w:r>
        <w:r>
          <w:fldChar w:fldCharType="begin"/>
        </w:r>
        <w:r>
          <w:instrText xml:space="preserve"> PAGEREF _Toc256000011 \h </w:instrText>
        </w:r>
        <w:r>
          <w:fldChar w:fldCharType="separate"/>
        </w:r>
        <w:r>
          <w:t>6</w:t>
        </w:r>
        <w:r>
          <w:fldChar w:fldCharType="end"/>
        </w:r>
      </w:hyperlink>
    </w:p>
    <w:p>
      <w:pPr>
        <w:pStyle w:val="TOC1"/>
        <w:tabs>
          <w:tab w:val="right" w:leader="dot" w:pos="9629"/>
        </w:tabs>
        <w:rPr>
          <w:rFonts w:ascii="Calibri" w:hAnsi="Calibri"/>
          <w:noProof/>
          <w:sz w:val="22"/>
        </w:rPr>
      </w:pPr>
      <w:hyperlink w:anchor="_Toc256000012" w:history="1">
        <w:r>
          <w:rPr>
            <w:rStyle w:val="Hyperlink"/>
          </w:rPr>
          <w:t>4</w:t>
        </w:r>
        <w:r>
          <w:rPr>
            <w:rStyle w:val="Hyperlink"/>
          </w:rPr>
          <w:t xml:space="preserve"> </w:t>
        </w:r>
        <w:r>
          <w:rPr>
            <w:rStyle w:val="Hyperlink"/>
          </w:rPr>
          <w:t>Upgrade Operation</w:t>
        </w:r>
        <w:r>
          <w:tab/>
        </w:r>
        <w:r>
          <w:fldChar w:fldCharType="begin"/>
        </w:r>
        <w:r>
          <w:instrText xml:space="preserve"> PAGEREF _Toc256000012 \h </w:instrText>
        </w:r>
        <w:r>
          <w:fldChar w:fldCharType="separate"/>
        </w:r>
        <w:r>
          <w:t>7</w:t>
        </w:r>
        <w:r>
          <w:fldChar w:fldCharType="end"/>
        </w:r>
      </w:hyperlink>
    </w:p>
    <w:p>
      <w:pPr>
        <w:pStyle w:val="TOC1"/>
        <w:tabs>
          <w:tab w:val="right" w:leader="dot" w:pos="9629"/>
        </w:tabs>
        <w:rPr>
          <w:rFonts w:ascii="Calibri" w:hAnsi="Calibri"/>
          <w:noProof/>
          <w:sz w:val="22"/>
        </w:rPr>
      </w:pPr>
      <w:hyperlink w:anchor="_Toc256000013" w:history="1">
        <w:r>
          <w:rPr>
            <w:rStyle w:val="Hyperlink"/>
          </w:rPr>
          <w:t>5</w:t>
        </w:r>
        <w:r>
          <w:rPr>
            <w:rStyle w:val="Hyperlink"/>
          </w:rPr>
          <w:t xml:space="preserve"> </w:t>
        </w:r>
        <w:r>
          <w:rPr>
            <w:rStyle w:val="Hyperlink"/>
          </w:rPr>
          <w:t>Upgrade Verification</w:t>
        </w:r>
        <w:r>
          <w:tab/>
        </w:r>
        <w:r>
          <w:fldChar w:fldCharType="begin"/>
        </w:r>
        <w:r>
          <w:instrText xml:space="preserve"> PAGEREF _Toc256000013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14" w:history="1">
        <w:r>
          <w:rPr>
            <w:rStyle w:val="Hyperlink"/>
            <w:snapToGrid w:val="0"/>
          </w:rPr>
          <w:t>5.1</w:t>
        </w:r>
        <w:r>
          <w:rPr>
            <w:rStyle w:val="Hyperlink"/>
            <w:snapToGrid w:val="0"/>
          </w:rPr>
          <w:t xml:space="preserve"> </w:t>
        </w:r>
        <w:r>
          <w:rPr>
            <w:rStyle w:val="Hyperlink"/>
          </w:rPr>
          <w:t>Verifying the SMU Status</w:t>
        </w:r>
        <w:r>
          <w:tab/>
        </w:r>
        <w:r>
          <w:fldChar w:fldCharType="begin"/>
        </w:r>
        <w:r>
          <w:instrText xml:space="preserve"> PAGEREF _Toc256000014 \h </w:instrText>
        </w:r>
        <w:r>
          <w:fldChar w:fldCharType="separate"/>
        </w:r>
        <w:r>
          <w:t>8</w:t>
        </w:r>
        <w:r>
          <w:fldChar w:fldCharType="end"/>
        </w:r>
      </w:hyperlink>
    </w:p>
    <w:p>
      <w:pPr>
        <w:pStyle w:val="TOC1"/>
        <w:tabs>
          <w:tab w:val="right" w:leader="dot" w:pos="9629"/>
        </w:tabs>
        <w:rPr>
          <w:rFonts w:ascii="Calibri" w:hAnsi="Calibri"/>
          <w:noProof/>
          <w:sz w:val="22"/>
        </w:rPr>
      </w:pPr>
      <w:hyperlink w:anchor="_Toc256000015" w:history="1">
        <w:r>
          <w:rPr>
            <w:rStyle w:val="Hyperlink"/>
          </w:rPr>
          <w:t>6</w:t>
        </w:r>
        <w:r>
          <w:rPr>
            <w:rStyle w:val="Hyperlink"/>
          </w:rPr>
          <w:t xml:space="preserve"> </w:t>
        </w:r>
        <w:r>
          <w:rPr>
            <w:rStyle w:val="Hyperlink"/>
          </w:rPr>
          <w:t>Software Downgrade</w:t>
        </w:r>
        <w:r>
          <w:tab/>
        </w:r>
        <w:r>
          <w:fldChar w:fldCharType="begin"/>
        </w:r>
        <w:r>
          <w:instrText xml:space="preserve"> PAGEREF _Toc256000015 \h </w:instrText>
        </w:r>
        <w:r>
          <w:fldChar w:fldCharType="separate"/>
        </w:r>
        <w:r>
          <w:t>10</w:t>
        </w:r>
        <w:r>
          <w:fldChar w:fldCharType="end"/>
        </w:r>
      </w:hyperlink>
    </w:p>
    <w:p>
      <w:pPr>
        <w:pStyle w:val="TOC1"/>
        <w:tabs>
          <w:tab w:val="right" w:leader="dot" w:pos="9629"/>
        </w:tabs>
        <w:rPr>
          <w:rFonts w:ascii="Calibri" w:hAnsi="Calibri"/>
          <w:noProof/>
          <w:sz w:val="22"/>
        </w:rPr>
      </w:pPr>
      <w:hyperlink w:anchor="_Toc256000016" w:history="1">
        <w:r>
          <w:rPr>
            <w:rStyle w:val="Hyperlink"/>
          </w:rPr>
          <w:t>7</w:t>
        </w:r>
        <w:r>
          <w:rPr>
            <w:rStyle w:val="Hyperlink"/>
          </w:rPr>
          <w:t xml:space="preserve"> </w:t>
        </w:r>
        <w:r>
          <w:rPr>
            <w:rStyle w:val="Hyperlink"/>
          </w:rPr>
          <w:t>Common Troubleshooting</w:t>
        </w:r>
        <w:r>
          <w:tab/>
        </w:r>
        <w:r>
          <w:fldChar w:fldCharType="begin"/>
        </w:r>
        <w:r>
          <w:instrText xml:space="preserve"> PAGEREF _Toc256000016 \h </w:instrText>
        </w:r>
        <w:r>
          <w:fldChar w:fldCharType="separate"/>
        </w:r>
        <w:r>
          <w:t>11</w:t>
        </w:r>
        <w:r>
          <w:fldChar w:fldCharType="end"/>
        </w:r>
      </w:hyperlink>
    </w:p>
    <w:p>
      <w:pPr>
        <w:pStyle w:val="TOC1"/>
        <w:tabs>
          <w:tab w:val="right" w:leader="dot" w:pos="9629"/>
        </w:tabs>
        <w:rPr>
          <w:rFonts w:ascii="Calibri" w:hAnsi="Calibri"/>
          <w:noProof/>
          <w:sz w:val="22"/>
        </w:rPr>
      </w:pPr>
      <w:hyperlink w:anchor="_Toc256000017" w:history="1">
        <w:r>
          <w:rPr>
            <w:rStyle w:val="Hyperlink"/>
          </w:rPr>
          <w:t>8</w:t>
        </w:r>
        <w:r>
          <w:rPr>
            <w:rStyle w:val="Hyperlink"/>
          </w:rPr>
          <w:t xml:space="preserve"> </w:t>
        </w:r>
        <w:r>
          <w:rPr>
            <w:rStyle w:val="Hyperlink"/>
          </w:rPr>
          <w:t>Appendix</w:t>
        </w:r>
        <w:r>
          <w:tab/>
        </w:r>
        <w:r>
          <w:fldChar w:fldCharType="begin"/>
        </w:r>
        <w:r>
          <w:instrText xml:space="preserve"> PAGEREF _Toc256000017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18" w:history="1">
        <w:r>
          <w:rPr>
            <w:rStyle w:val="Hyperlink"/>
            <w:snapToGrid w:val="0"/>
          </w:rPr>
          <w:t>8.1</w:t>
        </w:r>
        <w:r>
          <w:rPr>
            <w:rStyle w:val="Hyperlink"/>
            <w:snapToGrid w:val="0"/>
          </w:rPr>
          <w:t xml:space="preserve"> </w:t>
        </w:r>
        <w:r>
          <w:rPr>
            <w:rStyle w:val="Hyperlink"/>
          </w:rPr>
          <w:t>Upgrade Checklist</w:t>
        </w:r>
        <w:r>
          <w:tab/>
        </w:r>
        <w:r>
          <w:fldChar w:fldCharType="begin"/>
        </w:r>
        <w:r>
          <w:instrText xml:space="preserve"> PAGEREF _Toc256000018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19" w:history="1">
        <w:r>
          <w:rPr>
            <w:rStyle w:val="Hyperlink"/>
            <w:snapToGrid w:val="0"/>
          </w:rPr>
          <w:t>8.2</w:t>
        </w:r>
        <w:r>
          <w:rPr>
            <w:rStyle w:val="Hyperlink"/>
            <w:snapToGrid w:val="0"/>
          </w:rPr>
          <w:t xml:space="preserve"> </w:t>
        </w:r>
        <w:r>
          <w:rPr>
            <w:rStyle w:val="Hyperlink"/>
          </w:rPr>
          <w:t>Alarms and Events</w:t>
        </w:r>
        <w:r>
          <w:tab/>
        </w:r>
        <w:r>
          <w:fldChar w:fldCharType="begin"/>
        </w:r>
        <w:r>
          <w:instrText xml:space="preserve"> PAGEREF _Toc256000019 \h </w:instrText>
        </w:r>
        <w:r>
          <w:fldChar w:fldCharType="separate"/>
        </w:r>
        <w:r>
          <w:t>14</w:t>
        </w:r>
        <w:r>
          <w:fldChar w:fldCharType="end"/>
        </w:r>
      </w:hyperlink>
    </w:p>
    <w:p>
      <w:pPr>
        <w:pStyle w:val="TOC1"/>
        <w:tabs>
          <w:tab w:val="right" w:leader="dot" w:pos="9629"/>
        </w:tabs>
        <w:sectPr>
          <w:headerReference w:type="even" r:id="rId27"/>
          <w:headerReference w:type="default" r:id="rId28"/>
          <w:footerReference w:type="even" r:id="rId29"/>
          <w:footerReference w:type="default" r:id="rId30"/>
          <w:headerReference w:type="first" r:id="rId31"/>
          <w:type w:val="nextPage"/>
          <w:pgSz w:w="11907" w:h="16840" w:code="9"/>
          <w:pgMar w:top="1701" w:right="1134" w:bottom="1701" w:left="1134" w:header="567" w:footer="567" w:gutter="0"/>
          <w:pgNumType w:fmt="lowerRoman"/>
          <w:cols w:space="425"/>
          <w:docGrid w:linePitch="312"/>
        </w:sectPr>
      </w:pPr>
      <w:r>
        <w:fldChar w:fldCharType="end"/>
      </w:r>
    </w:p>
    <w:bookmarkStart w:id="3" w:name="_EN-US_TOPIC_0000001480540008"/>
    <w:bookmarkEnd w:id="3"/>
    <w:p>
      <w:pPr>
        <w:pStyle w:val="Heading1"/>
      </w:pPr>
      <w:bookmarkStart w:id="4" w:name="_EN-US_TOPIC_0000001480540008-chtext"/>
      <w:bookmarkStart w:id="5" w:name="_Toc256000001"/>
      <w:r>
        <w:t>Before You Start</w:t>
      </w:r>
      <w:bookmarkEnd w:id="5"/>
      <w:bookmarkEnd w:id="4"/>
    </w:p>
    <w:p>
      <w:r>
        <w:t>Before you start an upgrade, read this topic carefully to ensure a successful upgrade.</w:t>
      </w:r>
    </w:p>
    <w:p/>
    <w:p>
      <w:pPr>
        <w:pStyle w:val="CAUTIONHeading"/>
        <w:rPr>
          <w:rFonts w:hint="eastAsia"/>
        </w:rPr>
      </w:pPr>
      <w:r>
        <w:rPr>
          <w:rFonts w:hint="eastAsia"/>
        </w:rPr>
        <w:pict>
          <v:shape id="_x0000_i1034" type="#_x0000_t75" style="width:74.5pt;height:19pt">
            <v:imagedata r:id="rId32" o:title="Notice"/>
          </v:shape>
        </w:pict>
      </w:r>
    </w:p>
    <w:p>
      <w:pPr>
        <w:pStyle w:val="CAUTIONTextList"/>
      </w:pPr>
      <w:r>
        <w:t>Read the release notes of the target version to obtain information about the target version.</w:t>
      </w:r>
    </w:p>
    <w:p>
      <w:pPr>
        <w:pStyle w:val="CAUTIONTextList"/>
      </w:pPr>
      <w:r>
        <w:t xml:space="preserve">Ensure that you have attended necessary upgrade trainings. </w:t>
      </w:r>
    </w:p>
    <w:p>
      <w:pPr>
        <w:pStyle w:val="CAUTIONTextList"/>
      </w:pPr>
      <w:r>
        <w:t>Ensure stable power supply for an upgrade. Power-off during an upgrade will cause unexpected results.</w:t>
      </w:r>
    </w:p>
    <w:p>
      <w:pPr>
        <w:pStyle w:val="CAUTIONTextList"/>
      </w:pPr>
      <w:r>
        <w:t xml:space="preserve">This document is applicable only to cross-R and cross-C version upgrades. For details about an upgrade within the same R or C version, see the </w:t>
      </w:r>
      <w:r>
        <w:rPr>
          <w:i/>
        </w:rPr>
        <w:t>Patch Installation Guide</w:t>
      </w:r>
      <w:r>
        <w:t xml:space="preserve">. </w:t>
      </w:r>
    </w:p>
    <w:p>
      <w:pPr>
        <w:pStyle w:val="CAUTIONTextList"/>
      </w:pPr>
      <w:r>
        <w:t xml:space="preserve">After an upgrade, the IP addresses of users may become unusable, and users may need to dial up again. </w:t>
      </w:r>
    </w:p>
    <w:p>
      <w:hyperlink w:anchor="_EN-US_TOPIC_0000001480060564" w:tooltip=" " w:history="1">
        <w:r>
          <w:rPr>
            <w:rStyle w:val="Hyperlink"/>
          </w:rPr>
          <w:t>1.1  Upgrade Version Requirements</w:t>
        </w:r>
      </w:hyperlink>
    </w:p>
    <w:p>
      <w:hyperlink w:anchor="_EN-US_TOPIC_0000001531139889" w:tooltip=" " w:history="1">
        <w:r>
          <w:rPr>
            <w:rStyle w:val="Hyperlink"/>
          </w:rPr>
          <w:t>1.2  Scenario Description</w:t>
        </w:r>
      </w:hyperlink>
    </w:p>
    <w:p>
      <w:hyperlink w:anchor="_EN-US_TOPIC_0000001531220389" w:tooltip=" " w:history="1">
        <w:r>
          <w:rPr>
            <w:rStyle w:val="Hyperlink"/>
          </w:rPr>
          <w:t>1.3  Upgrade Impact</w:t>
        </w:r>
      </w:hyperlink>
    </w:p>
    <w:bookmarkStart w:id="6" w:name="_EN-US_TOPIC_0000001480060564"/>
    <w:bookmarkEnd w:id="6"/>
    <w:p>
      <w:pPr>
        <w:pStyle w:val="Heading2"/>
        <w:numPr>
          <w:numId w:val="45"/>
        </w:numPr>
      </w:pPr>
      <w:bookmarkStart w:id="7" w:name="_EN-US_TOPIC_0000001480060564-chtext"/>
      <w:bookmarkStart w:id="8" w:name="_Toc256000002"/>
      <w:r>
        <w:t>Upgrade Version Requirements</w:t>
      </w:r>
      <w:bookmarkEnd w:id="8"/>
      <w:bookmarkEnd w:id="7"/>
    </w:p>
    <w:p>
      <w:pPr>
        <w:pStyle w:val="Heading3"/>
        <w:numPr>
          <w:numId w:val="46"/>
        </w:numPr>
      </w:pPr>
      <w:bookmarkStart w:id="9" w:name="_EN-US_TOPIC_0000001531459945-chtext"/>
      <w:bookmarkStart w:id="10" w:name="_Toc256000003"/>
      <w:r>
        <w:t>OLT Source Version</w:t>
      </w:r>
      <w:bookmarkEnd w:id="10"/>
      <w:bookmarkEnd w:id="9"/>
    </w:p>
    <w:p/>
    <w:p>
      <w:pPr>
        <w:pStyle w:val="CAUTIONHeading"/>
        <w:rPr>
          <w:rFonts w:hint="eastAsia"/>
        </w:rPr>
      </w:pPr>
      <w:r>
        <w:rPr>
          <w:rFonts w:hint="eastAsia"/>
        </w:rPr>
        <w:pict>
          <v:shape id="_x0000_i1035" type="#_x0000_t75" style="width:74.5pt;height:19pt">
            <v:imagedata r:id="rId32" o:title="Notice"/>
          </v:shape>
        </w:pict>
      </w:r>
    </w:p>
    <w:p>
      <w:pPr>
        <w:pStyle w:val="CAUTIONText"/>
      </w:pPr>
      <w:r>
        <w:t>The optical line terminal (OLT) source version that is currently running must be V100R022C10 or later.</w:t>
      </w:r>
    </w:p>
    <w:p>
      <w:pPr>
        <w:pStyle w:val="Heading3"/>
      </w:pPr>
      <w:bookmarkStart w:id="11" w:name="_EN-US_TOPIC_0000001531300017-chtext"/>
      <w:bookmarkStart w:id="12" w:name="_Toc256000004"/>
      <w:r>
        <w:t>SMU Software Version</w:t>
      </w:r>
      <w:bookmarkEnd w:id="12"/>
      <w:bookmarkEnd w:id="11"/>
    </w:p>
    <w:p>
      <w:r>
        <w:t xml:space="preserve">The SMU software to be loaded must match the version of the control board. </w:t>
      </w:r>
    </w:p>
    <w:p/>
    <w:p>
      <w:pPr>
        <w:pStyle w:val="CAUTIONHeading"/>
        <w:rPr>
          <w:rFonts w:hint="eastAsia"/>
        </w:rPr>
      </w:pPr>
      <w:r>
        <w:rPr>
          <w:rFonts w:hint="eastAsia"/>
        </w:rPr>
        <w:pict>
          <v:shape id="_x0000_i1036" type="#_x0000_t75" style="width:74.5pt;height:19pt">
            <v:imagedata r:id="rId32" o:title="Notice"/>
          </v:shape>
        </w:pict>
      </w:r>
    </w:p>
    <w:p>
      <w:pPr>
        <w:pStyle w:val="CAUTIONText"/>
      </w:pPr>
      <w:r>
        <w:t>The SMU software must be a combined package with a signature. An SMU software package in this format is provided after the SMU software is decoupled from the OLT since OLT V100R022C10.</w:t>
      </w:r>
    </w:p>
    <w:bookmarkStart w:id="13" w:name="_EN-US_TOPIC_0000001531139889"/>
    <w:bookmarkEnd w:id="13"/>
    <w:p>
      <w:pPr>
        <w:pStyle w:val="Heading2"/>
      </w:pPr>
      <w:bookmarkStart w:id="14" w:name="_EN-US_TOPIC_0000001531139889-chtext"/>
      <w:bookmarkStart w:id="15" w:name="_Toc256000005"/>
      <w:r>
        <w:t>Scenario Description</w:t>
      </w:r>
      <w:bookmarkEnd w:id="15"/>
      <w:bookmarkEnd w:id="14"/>
    </w:p>
    <w:p>
      <w:r>
        <w:t>Currently, the SMU software can be loaded on the OLT command line interface (CLI).</w:t>
      </w:r>
    </w:p>
    <w:bookmarkStart w:id="16" w:name="_EN-US_TOPIC_0000001531220389"/>
    <w:bookmarkEnd w:id="16"/>
    <w:p>
      <w:pPr>
        <w:pStyle w:val="Heading2"/>
      </w:pPr>
      <w:bookmarkStart w:id="17" w:name="_EN-US_TOPIC_0000001531220389-chtext"/>
      <w:bookmarkStart w:id="18" w:name="_Toc256000006"/>
      <w:r>
        <w:t>Upgrade Impact</w:t>
      </w:r>
      <w:bookmarkEnd w:id="18"/>
      <w:bookmarkEnd w:id="17"/>
    </w:p>
    <w:p>
      <w:r>
        <w:t>Knowing the upgrade impact on services and network element (NE) management helps you plan an upgrade appropriately.</w:t>
      </w:r>
    </w:p>
    <w:p>
      <w:pPr>
        <w:pStyle w:val="ItemList"/>
      </w:pPr>
      <w:r>
        <w:rPr>
          <w:b/>
        </w:rPr>
        <w:t>Impact on services</w:t>
      </w:r>
    </w:p>
    <w:p>
      <w:pPr>
        <w:pStyle w:val="ItemListText"/>
      </w:pPr>
      <w:r>
        <w:t xml:space="preserve">During the software package loading, the SMU runs with default configurations, stays in the faulty state, and cannot be managed by the OLT. After the loading is complete, you need to restart the SMU for the loaded version package to take effect. </w:t>
      </w:r>
    </w:p>
    <w:p>
      <w:pPr>
        <w:pStyle w:val="NotesHeading"/>
        <w:rPr>
          <w:rFonts w:hint="eastAsia"/>
        </w:rPr>
      </w:pPr>
      <w:r>
        <w:rPr>
          <w:rFonts w:hint="eastAsia"/>
          <w:color w:val="339966"/>
        </w:rPr>
        <w:pict>
          <v:shape id="_x0000_i1037" type="#_x0000_t75" style="width:54.08pt;height:19pt">
            <v:imagedata r:id="rId33" o:title="note"/>
          </v:shape>
        </w:pict>
      </w:r>
    </w:p>
    <w:p>
      <w:pPr>
        <w:pStyle w:val="NotesText"/>
      </w:pPr>
      <w:r>
        <w:t xml:space="preserve">The size of the software package varies with SMUs, and the loading time ranges from several minutes to dozens of minutes. Currently, SMU11C has the largest software package which takes about 26 minutes to load. </w:t>
      </w:r>
    </w:p>
    <w:p>
      <w:pPr>
        <w:sectPr>
          <w:headerReference w:type="even" r:id="rId34"/>
          <w:headerReference w:type="default" r:id="rId35"/>
          <w:footerReference w:type="even" r:id="rId36"/>
          <w:footerReference w:type="default" r:id="rId37"/>
          <w:type w:val="nextPage"/>
          <w:pgSz w:w="11907" w:h="16840" w:code="9"/>
          <w:pgMar w:top="1701" w:right="1134" w:bottom="1701" w:left="1134" w:header="567" w:footer="567" w:gutter="0"/>
          <w:pgNumType w:fmt="decimal" w:start="1"/>
          <w:cols w:space="425"/>
          <w:docGrid w:linePitch="312"/>
        </w:sectPr>
      </w:pPr>
    </w:p>
    <w:p>
      <w:pPr>
        <w:pStyle w:val="Heading1"/>
      </w:pPr>
      <w:bookmarkStart w:id="19" w:name="_EN-US_TOPIC_0000001531220393"/>
      <w:bookmarkEnd w:id="19"/>
      <w:bookmarkStart w:id="20" w:name="_EN-US_TOPIC_0000001531220393-chtext"/>
      <w:bookmarkStart w:id="21" w:name="_Toc256000007"/>
      <w:r>
        <w:t>Upgrade Flowchart</w:t>
      </w:r>
      <w:bookmarkEnd w:id="21"/>
      <w:bookmarkEnd w:id="20"/>
    </w:p>
    <w:p>
      <w:r>
        <w:t xml:space="preserve">Adhere to the upgrade process when performing an upgrade. If any exceptions occur during an upgrade, stop the upgrade and contact Huawei technical support engineers. </w:t>
      </w:r>
    </w:p>
    <w:p>
      <w:r>
        <w:rPr>
          <w:b/>
        </w:rPr>
        <w:t>Figure 1</w:t>
      </w:r>
      <w:r>
        <w:t xml:space="preserve"> Upgrade flowchart</w:t>
      </w:r>
    </w:p>
    <w:p>
      <w:r>
        <w:pict>
          <v:shape id="_x0000_i1038" type="#_x0000_t75" style="width:397.44pt;height:308.68pt">
            <v:imagedata r:id="rId38" o:title=""/>
          </v:shape>
        </w:pict>
      </w:r>
    </w:p>
    <w:p>
      <w:pPr>
        <w:sectPr>
          <w:headerReference w:type="even" r:id="rId39"/>
          <w:headerReference w:type="default" r:id="rId40"/>
          <w:footerReference w:type="even" r:id="rId41"/>
          <w:footerReference w:type="default" r:id="rId42"/>
          <w:type w:val="nextPage"/>
          <w:pgSz w:w="11907" w:h="16840" w:code="9"/>
          <w:pgMar w:top="1701" w:right="1134" w:bottom="1701" w:left="1134" w:header="567" w:footer="567" w:gutter="0"/>
          <w:pgNumType w:fmt="decimal"/>
          <w:cols w:space="425"/>
          <w:docGrid w:linePitch="312"/>
        </w:sectPr>
      </w:pPr>
    </w:p>
    <w:bookmarkStart w:id="22" w:name="_EN-US_TOPIC_0000001480060568"/>
    <w:bookmarkEnd w:id="22"/>
    <w:p>
      <w:pPr>
        <w:pStyle w:val="Heading1"/>
      </w:pPr>
      <w:bookmarkStart w:id="23" w:name="_EN-US_TOPIC_0000001480060568-chtext"/>
      <w:bookmarkStart w:id="24" w:name="_Toc256000008"/>
      <w:r>
        <w:t>Upgrade Preparations</w:t>
      </w:r>
      <w:bookmarkEnd w:id="24"/>
      <w:bookmarkEnd w:id="23"/>
    </w:p>
    <w:p>
      <w:hyperlink w:anchor="_EN-US_TOPIC_0000001531459953" w:tooltip=" " w:history="1">
        <w:r>
          <w:rPr>
            <w:rStyle w:val="Hyperlink"/>
          </w:rPr>
          <w:t>3.1  Preparing Files and Materials Required for the Upgrade</w:t>
        </w:r>
      </w:hyperlink>
    </w:p>
    <w:p>
      <w:hyperlink w:anchor="_EN-US_TOPIC_0000001531459949" w:tooltip=" " w:history="1">
        <w:r>
          <w:rPr>
            <w:rStyle w:val="Hyperlink"/>
          </w:rPr>
          <w:t>3.2  Configuring the File Transfer Mode</w:t>
        </w:r>
      </w:hyperlink>
    </w:p>
    <w:p>
      <w:hyperlink w:anchor="_EN-US_TOPIC_0000001531300029" w:tooltip=" " w:history="1">
        <w:r>
          <w:rPr>
            <w:rStyle w:val="Hyperlink"/>
          </w:rPr>
          <w:t>3.3  Pre-upgrade Check</w:t>
        </w:r>
      </w:hyperlink>
    </w:p>
    <w:bookmarkStart w:id="25" w:name="_EN-US_TOPIC_0000001531459953"/>
    <w:bookmarkEnd w:id="25"/>
    <w:p>
      <w:pPr>
        <w:pStyle w:val="Heading2"/>
        <w:numPr>
          <w:numId w:val="52"/>
        </w:numPr>
      </w:pPr>
      <w:bookmarkStart w:id="26" w:name="_EN-US_TOPIC_0000001531459953-chtext"/>
      <w:bookmarkStart w:id="27" w:name="_Toc256000009"/>
      <w:r>
        <w:t>Preparing Files and Materials Required for the Upgrade</w:t>
      </w:r>
      <w:bookmarkEnd w:id="27"/>
      <w:bookmarkEnd w:id="26"/>
    </w:p>
    <w:p>
      <w:r>
        <w:t xml:space="preserve">Before the upgrade, prepare the required files and materials according to the source version and the type of the control board to ensure that the upgrade can be performed successfully. </w:t>
      </w:r>
    </w:p>
    <w:p/>
    <w:p>
      <w:pPr>
        <w:pStyle w:val="CAUTIONHeading"/>
        <w:rPr>
          <w:rFonts w:hint="eastAsia"/>
        </w:rPr>
      </w:pPr>
      <w:r>
        <w:rPr>
          <w:rFonts w:hint="eastAsia"/>
        </w:rPr>
        <w:pict>
          <v:shape id="_x0000_i1039" type="#_x0000_t75" style="width:74.5pt;height:19pt">
            <v:imagedata r:id="rId32" o:title="Notice"/>
          </v:shape>
        </w:pict>
      </w:r>
    </w:p>
    <w:p>
      <w:pPr>
        <w:pStyle w:val="CAUTIONTextList"/>
      </w:pPr>
      <w:r>
        <w:t>Obtain the corresponding combined software package based on the SMU board type. Otherwise, the loading will fail.</w:t>
      </w:r>
    </w:p>
    <w:p>
      <w:pPr>
        <w:pStyle w:val="CAUTIONTextList"/>
      </w:pPr>
      <w:r>
        <w:t>Prepare the combined package of the source version in advance for a version downgrade.</w:t>
      </w:r>
    </w:p>
    <w:p>
      <w:pPr>
        <w:pStyle w:val="BlockLabel"/>
      </w:pPr>
      <w:r>
        <w:t>Procedure</w:t>
      </w:r>
    </w:p>
    <w:p>
      <w:pPr>
        <w:pStyle w:val="Step"/>
        <w:numPr>
          <w:numId w:val="63"/>
        </w:numPr>
      </w:pPr>
      <w:r>
        <w:t>Download the software package required by the target version from http://support.huawei.com. The SMU combined package contains an embedded signature, which is verified by the OLT during the loading process. Signature verification is not required during file download, and decompression is not required during file loading.</w:t>
      </w:r>
    </w:p>
    <w:p>
      <w:pPr>
        <w:pStyle w:val="Step"/>
      </w:pPr>
      <w:r>
        <w:t>Prepare materials for the upgrade.</w:t>
      </w:r>
    </w:p>
    <w:p>
      <w:r>
        <w:fldChar w:fldCharType="begin"/>
      </w:r>
      <w:r>
        <w:instrText>REF _tab2 \r \h</w:instrText>
      </w:r>
      <w:r>
        <w:fldChar w:fldCharType="separate"/>
      </w:r>
      <w:r>
        <w:t>Table 3-1</w:t>
      </w:r>
      <w:r>
        <w:fldChar w:fldCharType="end"/>
      </w:r>
      <w:r>
        <w:t xml:space="preserve"> lists the materials required for the upgrade. </w:t>
      </w:r>
    </w:p>
    <w:bookmarkStart w:id="28" w:name="_tab2"/>
    <w:bookmarkEnd w:id="28"/>
    <w:p>
      <w:pPr>
        <w:pStyle w:val="TableDescription"/>
      </w:pPr>
      <w:r>
        <w:t>Materials required for the upgrade</w:t>
      </w:r>
    </w:p>
    <w:tbl>
      <w:tblPr>
        <w:tblStyle w:val="Table"/>
        <w:tblW w:w="7938" w:type="dxa"/>
        <w:tblInd w:w="1814" w:type="dxa"/>
        <w:tblLayout w:type="fixed"/>
        <w:tblLook w:val="01E0"/>
      </w:tblPr>
      <w:tblGrid>
        <w:gridCol w:w="1440"/>
        <w:gridCol w:w="1440"/>
        <w:gridCol w:w="1440"/>
      </w:tblGrid>
      <w:tr>
        <w:tblPrEx>
          <w:tblW w:w="7938" w:type="dxa"/>
          <w:tblInd w:w="1814" w:type="dxa"/>
          <w:tblLayout w:type="fixed"/>
          <w:tblLook w:val="01E0"/>
        </w:tblPrEx>
        <w:trPr>
          <w:cantSplit w:val="0"/>
          <w:tblHeader/>
        </w:trPr>
        <w:tc>
          <w:tcPr>
            <w:tcW w:w="357"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2143"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2500"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357" w:type="pct"/>
            <w:tcBorders>
              <w:top w:val="single" w:sz="6" w:space="0" w:color="000000"/>
              <w:bottom w:val="single" w:sz="6" w:space="0" w:color="000000"/>
              <w:right w:val="single" w:sz="6" w:space="0" w:color="000000"/>
            </w:tcBorders>
          </w:tcPr>
          <w:p>
            <w:pPr>
              <w:pStyle w:val="TableText"/>
            </w:pPr>
            <w:r>
              <w:t>1</w:t>
            </w:r>
          </w:p>
        </w:tc>
        <w:tc>
          <w:tcPr>
            <w:tcW w:w="2143" w:type="pct"/>
            <w:tcBorders>
              <w:top w:val="single" w:sz="6" w:space="0" w:color="000000"/>
              <w:bottom w:val="single" w:sz="6" w:space="0" w:color="000000"/>
              <w:right w:val="single" w:sz="6" w:space="0" w:color="000000"/>
            </w:tcBorders>
          </w:tcPr>
          <w:p>
            <w:pPr>
              <w:pStyle w:val="TableText"/>
            </w:pPr>
            <w:r>
              <w:t>A laptop running Windows XP or Windows 7</w:t>
            </w:r>
          </w:p>
        </w:tc>
        <w:tc>
          <w:tcPr>
            <w:tcW w:w="250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357" w:type="pct"/>
            <w:tcBorders>
              <w:top w:val="single" w:sz="6" w:space="0" w:color="000000"/>
              <w:bottom w:val="single" w:sz="6" w:space="0" w:color="000000"/>
              <w:right w:val="single" w:sz="6" w:space="0" w:color="000000"/>
            </w:tcBorders>
          </w:tcPr>
          <w:p>
            <w:pPr>
              <w:pStyle w:val="TableText"/>
            </w:pPr>
            <w:r>
              <w:t>2</w:t>
            </w:r>
          </w:p>
        </w:tc>
        <w:tc>
          <w:tcPr>
            <w:tcW w:w="2143" w:type="pct"/>
            <w:tcBorders>
              <w:top w:val="single" w:sz="6" w:space="0" w:color="000000"/>
              <w:bottom w:val="single" w:sz="6" w:space="0" w:color="000000"/>
              <w:right w:val="single" w:sz="6" w:space="0" w:color="000000"/>
            </w:tcBorders>
          </w:tcPr>
          <w:p>
            <w:pPr>
              <w:pStyle w:val="TableText"/>
            </w:pPr>
            <w:r>
              <w:t>Upgrade reference documents</w:t>
            </w:r>
          </w:p>
        </w:tc>
        <w:tc>
          <w:tcPr>
            <w:tcW w:w="250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357" w:type="pct"/>
            <w:tcBorders>
              <w:top w:val="single" w:sz="6" w:space="0" w:color="000000"/>
              <w:bottom w:val="single" w:sz="6" w:space="0" w:color="000000"/>
              <w:right w:val="single" w:sz="6" w:space="0" w:color="000000"/>
            </w:tcBorders>
          </w:tcPr>
          <w:p>
            <w:pPr>
              <w:pStyle w:val="TableText"/>
            </w:pPr>
            <w:r>
              <w:t>3</w:t>
            </w:r>
          </w:p>
        </w:tc>
        <w:tc>
          <w:tcPr>
            <w:tcW w:w="2143" w:type="pct"/>
            <w:tcBorders>
              <w:top w:val="single" w:sz="6" w:space="0" w:color="000000"/>
              <w:bottom w:val="single" w:sz="6" w:space="0" w:color="000000"/>
              <w:right w:val="single" w:sz="6" w:space="0" w:color="000000"/>
            </w:tcBorders>
          </w:tcPr>
          <w:p>
            <w:pPr>
              <w:pStyle w:val="TableText"/>
            </w:pPr>
            <w:r>
              <w:t>File transfer tool on the laptop</w:t>
            </w:r>
          </w:p>
        </w:tc>
        <w:tc>
          <w:tcPr>
            <w:tcW w:w="250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357" w:type="pct"/>
            <w:tcBorders>
              <w:top w:val="single" w:sz="6" w:space="0" w:color="000000"/>
              <w:bottom w:val="single" w:sz="6" w:space="0" w:color="000000"/>
              <w:right w:val="single" w:sz="6" w:space="0" w:color="000000"/>
            </w:tcBorders>
          </w:tcPr>
          <w:p>
            <w:pPr>
              <w:pStyle w:val="TableText"/>
            </w:pPr>
            <w:r>
              <w:t>4</w:t>
            </w:r>
          </w:p>
        </w:tc>
        <w:tc>
          <w:tcPr>
            <w:tcW w:w="2143" w:type="pct"/>
            <w:tcBorders>
              <w:top w:val="single" w:sz="6" w:space="0" w:color="000000"/>
              <w:bottom w:val="single" w:sz="6" w:space="0" w:color="000000"/>
              <w:right w:val="single" w:sz="6" w:space="0" w:color="000000"/>
            </w:tcBorders>
          </w:tcPr>
          <w:p>
            <w:pPr>
              <w:pStyle w:val="TableText"/>
            </w:pPr>
            <w:r>
              <w:t>IP address, user name, and password of the device to be upgraded</w:t>
            </w:r>
          </w:p>
        </w:tc>
        <w:tc>
          <w:tcPr>
            <w:tcW w:w="250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357" w:type="pct"/>
            <w:tcBorders>
              <w:top w:val="single" w:sz="6" w:space="0" w:color="000000"/>
              <w:bottom w:val="single" w:sz="6" w:space="0" w:color="000000"/>
              <w:right w:val="single" w:sz="6" w:space="0" w:color="000000"/>
            </w:tcBorders>
          </w:tcPr>
          <w:p>
            <w:pPr>
              <w:pStyle w:val="TableText"/>
            </w:pPr>
            <w:r>
              <w:t>5</w:t>
            </w:r>
          </w:p>
        </w:tc>
        <w:tc>
          <w:tcPr>
            <w:tcW w:w="2143" w:type="pct"/>
            <w:tcBorders>
              <w:top w:val="single" w:sz="6" w:space="0" w:color="000000"/>
              <w:bottom w:val="single" w:sz="6" w:space="0" w:color="000000"/>
              <w:right w:val="single" w:sz="6" w:space="0" w:color="000000"/>
            </w:tcBorders>
          </w:tcPr>
          <w:p>
            <w:pPr>
              <w:pStyle w:val="TableText"/>
            </w:pPr>
            <w:r>
              <w:t>Telnet tool</w:t>
            </w:r>
          </w:p>
        </w:tc>
        <w:tc>
          <w:tcPr>
            <w:tcW w:w="2500"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357" w:type="pct"/>
            <w:tcBorders>
              <w:top w:val="single" w:sz="6" w:space="0" w:color="000000"/>
              <w:bottom w:val="single" w:sz="6" w:space="0" w:color="000000"/>
              <w:right w:val="single" w:sz="6" w:space="0" w:color="000000"/>
            </w:tcBorders>
          </w:tcPr>
          <w:p>
            <w:pPr>
              <w:pStyle w:val="TableText"/>
            </w:pPr>
            <w:r>
              <w:t>6</w:t>
            </w:r>
          </w:p>
        </w:tc>
        <w:tc>
          <w:tcPr>
            <w:tcW w:w="2143" w:type="pct"/>
            <w:tcBorders>
              <w:top w:val="single" w:sz="6" w:space="0" w:color="000000"/>
              <w:bottom w:val="single" w:sz="6" w:space="0" w:color="000000"/>
              <w:right w:val="single" w:sz="6" w:space="0" w:color="000000"/>
            </w:tcBorders>
          </w:tcPr>
          <w:p>
            <w:pPr>
              <w:pStyle w:val="TableText"/>
            </w:pPr>
            <w:r>
              <w:t>Network cable and serial cable</w:t>
            </w:r>
          </w:p>
        </w:tc>
        <w:tc>
          <w:tcPr>
            <w:tcW w:w="2500" w:type="pct"/>
            <w:tcBorders>
              <w:top w:val="single" w:sz="6" w:space="0" w:color="000000"/>
              <w:bottom w:val="single" w:sz="6" w:space="0" w:color="000000"/>
            </w:tcBorders>
          </w:tcPr>
          <w:p>
            <w:pPr>
              <w:pStyle w:val="TableText"/>
            </w:pPr>
            <w:r>
              <w:t>-</w:t>
            </w:r>
          </w:p>
        </w:tc>
      </w:tr>
    </w:tbl>
    <w:p/>
    <w:p>
      <w:pPr>
        <w:pStyle w:val="End"/>
      </w:pPr>
      <w:r>
        <w:t>----End</w:t>
      </w:r>
    </w:p>
    <w:bookmarkStart w:id="29" w:name="_EN-US_TOPIC_0000001531459949"/>
    <w:bookmarkEnd w:id="29"/>
    <w:p>
      <w:pPr>
        <w:pStyle w:val="Heading2"/>
      </w:pPr>
      <w:bookmarkStart w:id="30" w:name="_EN-US_TOPIC_0000001531459949-chtext"/>
      <w:bookmarkStart w:id="31" w:name="_Toc256000010"/>
      <w:r>
        <w:t>Configuring the File Transfer Mode</w:t>
      </w:r>
      <w:bookmarkEnd w:id="31"/>
      <w:bookmarkEnd w:id="30"/>
    </w:p>
    <w:p>
      <w:r>
        <w:t>This topic describes how to configure the file transfer mode between a device to be upgraded and file server, so that the upgrade software package can be loaded to the device from the file server.</w:t>
      </w:r>
    </w:p>
    <w:p>
      <w:pPr>
        <w:pStyle w:val="BlockLabel"/>
      </w:pPr>
      <w:r>
        <w:t>Prerequisites</w:t>
      </w:r>
    </w:p>
    <w:p>
      <w:r>
        <w:t>Before configuring the file transfer mode, ensure that network communication between the file server and the device to be upgraded is normal.</w:t>
      </w:r>
    </w:p>
    <w:p>
      <w:pPr>
        <w:pStyle w:val="BlockLabel"/>
      </w:pPr>
      <w:r>
        <w:t>Context</w:t>
      </w:r>
    </w:p>
    <w:p>
      <w:pPr>
        <w:pStyle w:val="ItemList"/>
      </w:pPr>
      <w:r>
        <w:t>The FTP, TFTP, and SFTP file transfer protocols are supported for file transfer between a file server and a device. The SFTP protocol is recommended.</w:t>
      </w:r>
    </w:p>
    <w:p>
      <w:pPr>
        <w:pStyle w:val="ItemList"/>
      </w:pPr>
      <w:r>
        <w:t>This topic uses SFTP as an example to describe how to load an upgrade package to a device to be upgraded from a file server.</w:t>
      </w:r>
    </w:p>
    <w:p>
      <w:pPr>
        <w:pStyle w:val="BlockLabel"/>
      </w:pPr>
      <w:r>
        <w:t>Procedure</w:t>
      </w:r>
    </w:p>
    <w:p>
      <w:pPr>
        <w:pStyle w:val="Step"/>
        <w:numPr>
          <w:numId w:val="64"/>
        </w:numPr>
      </w:pPr>
      <w:r>
        <w:t>Install the SFTP tool on a file server.</w:t>
      </w:r>
    </w:p>
    <w:p>
      <w:pPr>
        <w:pStyle w:val="Step"/>
      </w:pPr>
      <w:r>
        <w:t>Remotely log in to the device to be upgraded. (The SSH login mode is recommended.)</w:t>
      </w:r>
    </w:p>
    <w:p>
      <w:pPr>
        <w:pStyle w:val="Step"/>
      </w:pPr>
      <w:r>
        <w:t xml:space="preserve">Run the </w:t>
      </w:r>
      <w:r>
        <w:rPr>
          <w:b/>
        </w:rPr>
        <w:t>ssh sftp clear</w:t>
      </w:r>
      <w:r>
        <w:t xml:space="preserve"> command to clear the SFTP settings in the system.</w:t>
      </w:r>
    </w:p>
    <w:p>
      <w:pPr>
        <w:pStyle w:val="Step"/>
      </w:pPr>
      <w:r>
        <w:t xml:space="preserve">Run the </w:t>
      </w:r>
      <w:r>
        <w:rPr>
          <w:b/>
        </w:rPr>
        <w:t>ssh sftp set</w:t>
      </w:r>
      <w:r>
        <w:t xml:space="preserve"> command to set the SFTP user name and password.</w:t>
      </w:r>
    </w:p>
    <w:p>
      <w:pPr>
        <w:pStyle w:val="End"/>
      </w:pPr>
      <w:r>
        <w:t>----End</w:t>
      </w:r>
    </w:p>
    <w:p>
      <w:pPr>
        <w:pStyle w:val="BlockLabel"/>
      </w:pPr>
      <w:r>
        <w:t>Example</w:t>
      </w:r>
    </w:p>
    <w:p>
      <w:r>
        <w:t xml:space="preserve">To set the user name and password for logging in to the SFTP server, do as follows: </w:t>
      </w:r>
    </w:p>
    <w:p>
      <w:pPr>
        <w:pStyle w:val="TerminalDisplay"/>
      </w:pPr>
      <w:r>
        <w:t>huawei(config)#</w:t>
      </w:r>
      <w:r>
        <w:rPr>
          <w:b/>
        </w:rPr>
        <w:t>ssh sftp clear</w:t>
      </w:r>
      <w:r>
        <w:t xml:space="preserve"> </w:t>
        <w:br/>
        <w:t>huawei(config)#</w:t>
      </w:r>
      <w:r>
        <w:rPr>
          <w:b/>
        </w:rPr>
        <w:t>ssh sftp set</w:t>
      </w:r>
      <w:r>
        <w:t xml:space="preserve"> </w:t>
        <w:br/>
        <w:t xml:space="preserve">User Name(&lt;=40 chars): </w:t>
      </w:r>
      <w:r>
        <w:rPr>
          <w:b/>
        </w:rPr>
        <w:t>testUser</w:t>
      </w:r>
      <w:r>
        <w:t xml:space="preserve"> //User name for logging in to the SFTP server </w:t>
        <w:br/>
        <w:t xml:space="preserve">User Password(&lt;=40 chars): //Password for logging in to the SFTP server </w:t>
        <w:br/>
        <w:t xml:space="preserve"> Listening Port(0--65535):</w:t>
      </w:r>
      <w:r>
        <w:rPr>
          <w:b/>
        </w:rPr>
        <w:t>22</w:t>
      </w:r>
      <w:r>
        <w:t xml:space="preserve">      </w:t>
      </w:r>
    </w:p>
    <w:bookmarkStart w:id="32" w:name="_EN-US_TOPIC_0000001531300029"/>
    <w:bookmarkEnd w:id="32"/>
    <w:p>
      <w:pPr>
        <w:pStyle w:val="Heading2"/>
      </w:pPr>
      <w:bookmarkStart w:id="33" w:name="_EN-US_TOPIC_0000001531300029-chtext"/>
      <w:bookmarkStart w:id="34" w:name="_Toc256000011"/>
      <w:r>
        <w:t>Pre-upgrade Check</w:t>
      </w:r>
      <w:bookmarkEnd w:id="34"/>
      <w:bookmarkEnd w:id="33"/>
    </w:p>
    <w:p>
      <w:r>
        <w:t>Before the upgrade, check the SMU software version and status.</w:t>
      </w:r>
    </w:p>
    <w:p>
      <w:pPr>
        <w:pStyle w:val="BlockLabel"/>
      </w:pPr>
      <w:r>
        <w:t>Procedure</w:t>
      </w:r>
    </w:p>
    <w:p>
      <w:pPr>
        <w:pStyle w:val="Step"/>
        <w:numPr>
          <w:numId w:val="65"/>
        </w:numPr>
      </w:pPr>
      <w:r>
        <w:t xml:space="preserve">Run the </w:t>
      </w:r>
      <w:r>
        <w:rPr>
          <w:b/>
        </w:rPr>
        <w:t>display emu</w:t>
      </w:r>
      <w:r>
        <w:t xml:space="preserve"> command to query the information about the SMU, including the SMU ID and status. </w:t>
      </w:r>
    </w:p>
    <w:p>
      <w:pPr>
        <w:pStyle w:val="Step"/>
      </w:pPr>
      <w:r>
        <w:t xml:space="preserve">Run the </w:t>
      </w:r>
      <w:r>
        <w:rPr>
          <w:b/>
        </w:rPr>
        <w:t>interface emu</w:t>
      </w:r>
      <w:r>
        <w:t xml:space="preserve"> command to enter the management mode of the SMU. </w:t>
      </w:r>
    </w:p>
    <w:p>
      <w:pPr>
        <w:pStyle w:val="Step"/>
      </w:pPr>
      <w:r>
        <w:t xml:space="preserve">Run the </w:t>
      </w:r>
      <w:r>
        <w:rPr>
          <w:b/>
        </w:rPr>
        <w:t>display version</w:t>
      </w:r>
      <w:r>
        <w:t xml:space="preserve"> command to check whether the current version of the SMU is the source version to be upgraded.</w:t>
      </w:r>
    </w:p>
    <w:p>
      <w:pPr>
        <w:pStyle w:val="End"/>
      </w:pPr>
      <w:r>
        <w:t>----End</w:t>
      </w:r>
    </w:p>
    <w:p>
      <w:pPr>
        <w:pStyle w:val="BlockLabel"/>
      </w:pPr>
      <w:r>
        <w:t>Example</w:t>
      </w:r>
    </w:p>
    <w:p>
      <w:r>
        <w:t>To query the ID, status, and version of an SMU to be upgraded, do as follows:</w:t>
      </w:r>
    </w:p>
    <w:p>
      <w:pPr>
        <w:pStyle w:val="TerminalDisplay"/>
      </w:pPr>
      <w:r>
        <w:t>huawei(config)#</w:t>
      </w:r>
      <w:r>
        <w:rPr>
          <w:b/>
        </w:rPr>
        <w:t>display emu</w:t>
      </w:r>
      <w:r>
        <w:t xml:space="preserve">  </w:t>
        <w:br/>
        <w:t xml:space="preserve">  EMU parameter </w:t>
        <w:br/>
        <w:t xml:space="preserve">  ------------------------------------------------------------------------------ </w:t>
        <w:br/>
        <w:t xml:space="preserve">    ID  Type               State       |  ID  Type               State         </w:t>
        <w:br/>
        <w:t xml:space="preserve">  ------------------------------------------------------------------------------ </w:t>
        <w:br/>
        <w:t xml:space="preserve">    0   FAN                normal      |  1   FAN                normal       </w:t>
        <w:br/>
        <w:t xml:space="preserve">    2   TCU                fault       |  3   SMU                normal       </w:t>
        <w:br/>
        <w:t xml:space="preserve">    4   -                  -           |  5   -                  -            </w:t>
        <w:br/>
        <w:t xml:space="preserve">huawei(config)#interface emu 3  </w:t>
        <w:br/>
        <w:t>huawei(config-if-smu-3)#</w:t>
      </w:r>
      <w:r>
        <w:rPr>
          <w:b/>
        </w:rPr>
        <w:t>display  version</w:t>
      </w:r>
      <w:r>
        <w:t xml:space="preserve"> </w:t>
        <w:br/>
        <w:t xml:space="preserve">  EMU ID: 3                            </w:t>
        <w:br/>
        <w:t xml:space="preserve">  ------------------------------------------------------------------------------ </w:t>
        <w:br/>
        <w:t xml:space="preserve">  Software Version          : 0161 </w:t>
        <w:br/>
        <w:t xml:space="preserve">  PCB Version               : A </w:t>
        <w:br/>
        <w:t xml:space="preserve">  Board name                : SMU11C </w:t>
        <w:br/>
        <w:t xml:space="preserve">  System name               : ETP4850 </w:t>
        <w:br/>
        <w:t xml:space="preserve">  ------------------------------------------------------------------------------</w:t>
      </w:r>
    </w:p>
    <w:p>
      <w:pPr>
        <w:sectPr>
          <w:headerReference w:type="even" r:id="rId43"/>
          <w:headerReference w:type="default" r:id="rId44"/>
          <w:footerReference w:type="even" r:id="rId45"/>
          <w:footerReference w:type="default" r:id="rId46"/>
          <w:type w:val="nextPage"/>
          <w:pgSz w:w="11907" w:h="16840" w:code="9"/>
          <w:pgMar w:top="1701" w:right="1134" w:bottom="1701" w:left="1134" w:header="567" w:footer="567" w:gutter="0"/>
          <w:pgNumType w:fmt="decimal"/>
          <w:cols w:space="425"/>
          <w:docGrid w:linePitch="312"/>
        </w:sectPr>
      </w:pPr>
    </w:p>
    <w:p>
      <w:pPr>
        <w:pStyle w:val="Heading1"/>
      </w:pPr>
      <w:bookmarkStart w:id="35" w:name="_EN-US_TOPIC_0000001531139893"/>
      <w:bookmarkEnd w:id="35"/>
      <w:bookmarkStart w:id="36" w:name="_EN-US_TOPIC_0000001531139893-chtext"/>
      <w:bookmarkStart w:id="37" w:name="_Toc256000012"/>
      <w:r>
        <w:t>Upgrade Operation</w:t>
      </w:r>
      <w:bookmarkEnd w:id="37"/>
      <w:bookmarkEnd w:id="36"/>
    </w:p>
    <w:p>
      <w:pPr>
        <w:pStyle w:val="BlockLabel"/>
      </w:pPr>
      <w:r>
        <w:t>Procedure</w:t>
      </w:r>
    </w:p>
    <w:p>
      <w:pPr>
        <w:pStyle w:val="Step"/>
        <w:numPr>
          <w:numId w:val="66"/>
        </w:numPr>
      </w:pPr>
      <w:r>
        <w:t>Copy the combined package to the configured SFTP path.</w:t>
      </w:r>
    </w:p>
    <w:p>
      <w:pPr>
        <w:pStyle w:val="Step"/>
      </w:pPr>
      <w:r>
        <w:t>Enter the diagnose mode.</w:t>
      </w:r>
    </w:p>
    <w:p>
      <w:pPr>
        <w:pStyle w:val="Step"/>
      </w:pPr>
      <w:r>
        <w:t xml:space="preserve">Run the </w:t>
      </w:r>
      <w:r>
        <w:rPr>
          <w:b/>
        </w:rPr>
        <w:t>load program emu</w:t>
      </w:r>
      <w:r>
        <w:t xml:space="preserve"> command to load the combined package. After the loading is complete, the SMU is automatically reset and registered, and becomes normal. </w:t>
      </w:r>
    </w:p>
    <w:p>
      <w:pPr>
        <w:pStyle w:val="NotesHeading"/>
        <w:rPr>
          <w:rFonts w:hint="eastAsia"/>
        </w:rPr>
      </w:pPr>
      <w:r>
        <w:rPr>
          <w:rFonts w:hint="eastAsia"/>
          <w:color w:val="339966"/>
        </w:rPr>
        <w:pict>
          <v:shape id="_x0000_i1040" type="#_x0000_t75" style="width:54.08pt;height:19pt">
            <v:imagedata r:id="rId33" o:title="note"/>
          </v:shape>
        </w:pict>
      </w:r>
    </w:p>
    <w:p>
      <w:pPr>
        <w:pStyle w:val="NotesText"/>
      </w:pPr>
      <w:r>
        <w:t>You need to wait for 10–30 minutes, depending on the size of the file to be loaded and the network status.</w:t>
      </w:r>
    </w:p>
    <w:p>
      <w:pPr>
        <w:pStyle w:val="End"/>
      </w:pPr>
      <w:r>
        <w:t>----End</w:t>
      </w:r>
    </w:p>
    <w:p>
      <w:pPr>
        <w:pStyle w:val="BlockLabel"/>
      </w:pPr>
      <w:r>
        <w:t>Example</w:t>
      </w:r>
    </w:p>
    <w:p>
      <w:r>
        <w:t>To load an SMU combined package to SMU 3 with the listed conditions, do as follows:</w:t>
      </w:r>
    </w:p>
    <w:p>
      <w:pPr>
        <w:pStyle w:val="ItemList"/>
      </w:pPr>
      <w:r>
        <w:t xml:space="preserve">The </w:t>
      </w:r>
      <w:r>
        <w:rPr>
          <w:b/>
        </w:rPr>
        <w:t>FTP</w:t>
      </w:r>
      <w:r>
        <w:t xml:space="preserve"> file transfer mode is used.</w:t>
      </w:r>
    </w:p>
    <w:p>
      <w:pPr>
        <w:pStyle w:val="ItemList"/>
      </w:pPr>
      <w:r>
        <w:t xml:space="preserve">The IP address of the file server is </w:t>
      </w:r>
      <w:r>
        <w:rPr>
          <w:b/>
        </w:rPr>
        <w:t>x.x.x.x</w:t>
      </w:r>
      <w:r>
        <w:t xml:space="preserve">. </w:t>
      </w:r>
    </w:p>
    <w:p>
      <w:pPr>
        <w:pStyle w:val="ItemList"/>
      </w:pPr>
      <w:r>
        <w:t>The name of the combined package is smu_wholepackage.bin.</w:t>
      </w:r>
    </w:p>
    <w:p>
      <w:pPr>
        <w:pStyle w:val="ItemlistTextTD"/>
      </w:pPr>
      <w:r>
        <w:t>huawei(diagnose)%%</w:t>
      </w:r>
      <w:r>
        <w:rPr>
          <w:b/>
        </w:rPr>
        <w:t>load program emu ftp x.x.x.x smu_wholepackage.bin 3</w:t>
      </w:r>
      <w:r>
        <w:t xml:space="preserve"> </w:t>
        <w:br/>
        <w:t xml:space="preserve"> Warning: FTP is not a secure protocol, and it is recommended to use SFTP </w:t>
        <w:br/>
        <w:t xml:space="preserve"> Whether to start loading? (y/n)[n]:</w:t>
      </w:r>
      <w:r>
        <w:rPr>
          <w:b/>
        </w:rPr>
        <w:t>y</w:t>
      </w:r>
    </w:p>
    <w:p>
      <w:pPr>
        <w:sectPr>
          <w:headerReference w:type="even" r:id="rId47"/>
          <w:headerReference w:type="default" r:id="rId48"/>
          <w:footerReference w:type="even" r:id="rId49"/>
          <w:footerReference w:type="default" r:id="rId50"/>
          <w:type w:val="nextPage"/>
          <w:pgSz w:w="11907" w:h="16840" w:code="9"/>
          <w:pgMar w:top="1701" w:right="1134" w:bottom="1701" w:left="1134" w:header="567" w:footer="567" w:gutter="0"/>
          <w:pgNumType w:fmt="decimal"/>
          <w:cols w:space="425"/>
          <w:docGrid w:linePitch="312"/>
        </w:sectPr>
      </w:pPr>
    </w:p>
    <w:bookmarkStart w:id="38" w:name="_EN-US_TOPIC_0000001480380192"/>
    <w:bookmarkEnd w:id="38"/>
    <w:p>
      <w:pPr>
        <w:pStyle w:val="Heading1"/>
      </w:pPr>
      <w:bookmarkStart w:id="39" w:name="_EN-US_TOPIC_0000001480380192-chtext"/>
      <w:bookmarkStart w:id="40" w:name="_Toc256000013"/>
      <w:r>
        <w:t>Upgrade Verification</w:t>
      </w:r>
      <w:bookmarkEnd w:id="40"/>
      <w:bookmarkEnd w:id="39"/>
    </w:p>
    <w:p>
      <w:r>
        <w:t>When the upgrade is complete, verify the upgrade results to ensure that the device runs normally.</w:t>
      </w:r>
    </w:p>
    <w:p>
      <w:hyperlink w:anchor="_EN-US_TOPIC_0000001531220401" w:tooltip=" " w:history="1">
        <w:r>
          <w:rPr>
            <w:rStyle w:val="Hyperlink"/>
          </w:rPr>
          <w:t>5.1  Verifying the SMU Status</w:t>
        </w:r>
      </w:hyperlink>
    </w:p>
    <w:bookmarkStart w:id="41" w:name="_EN-US_TOPIC_0000001531220401"/>
    <w:bookmarkEnd w:id="41"/>
    <w:p>
      <w:pPr>
        <w:pStyle w:val="Heading2"/>
        <w:numPr>
          <w:numId w:val="57"/>
        </w:numPr>
      </w:pPr>
      <w:bookmarkStart w:id="42" w:name="_EN-US_TOPIC_0000001531220401-chtext"/>
      <w:bookmarkStart w:id="43" w:name="_Toc256000014"/>
      <w:r>
        <w:t>Verifying the SMU Status</w:t>
      </w:r>
      <w:bookmarkEnd w:id="43"/>
      <w:bookmarkEnd w:id="42"/>
    </w:p>
    <w:p>
      <w:pPr>
        <w:pStyle w:val="BlockLabel"/>
      </w:pPr>
      <w:r>
        <w:t>Context</w:t>
      </w:r>
    </w:p>
    <w:p>
      <w:r>
        <w:t xml:space="preserve">The upgrade is successful only when all check items in </w:t>
      </w:r>
      <w:r>
        <w:fldChar w:fldCharType="begin"/>
      </w:r>
      <w:r>
        <w:instrText>REF _table154831731272 \r \h</w:instrText>
      </w:r>
      <w:r>
        <w:fldChar w:fldCharType="separate"/>
      </w:r>
      <w:r>
        <w:t>Table 5-1</w:t>
      </w:r>
      <w:r>
        <w:fldChar w:fldCharType="end"/>
      </w:r>
      <w:r>
        <w:t xml:space="preserve"> meet the expected results.</w:t>
      </w:r>
    </w:p>
    <w:bookmarkStart w:id="44" w:name="_table154831731272"/>
    <w:bookmarkEnd w:id="44"/>
    <w:p>
      <w:pPr>
        <w:pStyle w:val="TableDescription"/>
      </w:pPr>
      <w:r>
        <w:t>Verification checklist</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714"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428"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1428" w:type="pct"/>
            <w:tcBorders>
              <w:top w:val="single" w:sz="6" w:space="0" w:color="000000"/>
              <w:bottom w:val="single" w:sz="6" w:space="0" w:color="000000"/>
              <w:right w:val="single" w:sz="6" w:space="0" w:color="000000"/>
            </w:tcBorders>
            <w:shd w:val="clear" w:color="auto" w:fill="D9D9D9"/>
          </w:tcPr>
          <w:p>
            <w:pPr>
              <w:pStyle w:val="TableHeading"/>
            </w:pPr>
            <w:r>
              <w:t>Expected Result</w:t>
            </w:r>
          </w:p>
        </w:tc>
        <w:tc>
          <w:tcPr>
            <w:tcW w:w="1428" w:type="pct"/>
            <w:tcBorders>
              <w:top w:val="single" w:sz="6" w:space="0" w:color="000000"/>
              <w:bottom w:val="single" w:sz="6" w:space="0" w:color="000000"/>
            </w:tcBorders>
            <w:shd w:val="clear" w:color="auto" w:fill="D9D9D9"/>
          </w:tcPr>
          <w:p>
            <w:pPr>
              <w:pStyle w:val="TableHeading"/>
            </w:pPr>
            <w:r>
              <w:t>Check Result</w:t>
            </w:r>
          </w:p>
        </w:tc>
      </w:tr>
      <w:tr>
        <w:tblPrEx>
          <w:tblW w:w="7938" w:type="dxa"/>
          <w:tblInd w:w="1814" w:type="dxa"/>
          <w:tblLayout w:type="fixed"/>
          <w:tblLook w:val="01E0"/>
        </w:tblPrEx>
        <w:trPr>
          <w:cantSplit w:val="0"/>
        </w:trPr>
        <w:tc>
          <w:tcPr>
            <w:tcW w:w="714" w:type="pct"/>
            <w:tcBorders>
              <w:top w:val="single" w:sz="6" w:space="0" w:color="000000"/>
              <w:bottom w:val="single" w:sz="6" w:space="0" w:color="000000"/>
              <w:right w:val="single" w:sz="6" w:space="0" w:color="000000"/>
            </w:tcBorders>
          </w:tcPr>
          <w:p>
            <w:pPr>
              <w:pStyle w:val="TableText"/>
            </w:pPr>
            <w:r>
              <w:t>1</w:t>
            </w:r>
          </w:p>
        </w:tc>
        <w:tc>
          <w:tcPr>
            <w:tcW w:w="1428" w:type="pct"/>
            <w:tcBorders>
              <w:top w:val="single" w:sz="6" w:space="0" w:color="000000"/>
              <w:bottom w:val="single" w:sz="6" w:space="0" w:color="000000"/>
              <w:right w:val="single" w:sz="6" w:space="0" w:color="000000"/>
            </w:tcBorders>
          </w:tcPr>
          <w:p>
            <w:pPr>
              <w:pStyle w:val="TableText"/>
            </w:pPr>
            <w:r>
              <w:t>Verify that the SMU status is correct after the upgrade.</w:t>
            </w:r>
          </w:p>
        </w:tc>
        <w:tc>
          <w:tcPr>
            <w:tcW w:w="1428" w:type="pct"/>
            <w:tcBorders>
              <w:top w:val="single" w:sz="6" w:space="0" w:color="000000"/>
              <w:bottom w:val="single" w:sz="6" w:space="0" w:color="000000"/>
              <w:right w:val="single" w:sz="6" w:space="0" w:color="000000"/>
            </w:tcBorders>
          </w:tcPr>
          <w:p>
            <w:pPr>
              <w:pStyle w:val="TableText"/>
            </w:pPr>
            <w:r>
              <w:t>The SMU status is normal after the upgrade.</w:t>
            </w:r>
          </w:p>
        </w:tc>
        <w:tc>
          <w:tcPr>
            <w:tcW w:w="1428"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714" w:type="pct"/>
            <w:tcBorders>
              <w:top w:val="single" w:sz="6" w:space="0" w:color="000000"/>
              <w:bottom w:val="single" w:sz="6" w:space="0" w:color="000000"/>
              <w:right w:val="single" w:sz="6" w:space="0" w:color="000000"/>
            </w:tcBorders>
          </w:tcPr>
          <w:p>
            <w:pPr>
              <w:pStyle w:val="TableText"/>
            </w:pPr>
            <w:r>
              <w:t>2</w:t>
            </w:r>
          </w:p>
        </w:tc>
        <w:tc>
          <w:tcPr>
            <w:tcW w:w="1428" w:type="pct"/>
            <w:tcBorders>
              <w:top w:val="single" w:sz="6" w:space="0" w:color="000000"/>
              <w:bottom w:val="single" w:sz="6" w:space="0" w:color="000000"/>
              <w:right w:val="single" w:sz="6" w:space="0" w:color="000000"/>
            </w:tcBorders>
          </w:tcPr>
          <w:p>
            <w:pPr>
              <w:pStyle w:val="TableText"/>
            </w:pPr>
            <w:r>
              <w:t>Verify the device version after the upgrade.</w:t>
            </w:r>
          </w:p>
        </w:tc>
        <w:tc>
          <w:tcPr>
            <w:tcW w:w="1428" w:type="pct"/>
            <w:tcBorders>
              <w:top w:val="single" w:sz="6" w:space="0" w:color="000000"/>
              <w:bottom w:val="single" w:sz="6" w:space="0" w:color="000000"/>
              <w:right w:val="single" w:sz="6" w:space="0" w:color="000000"/>
            </w:tcBorders>
          </w:tcPr>
          <w:p>
            <w:pPr>
              <w:pStyle w:val="TableText"/>
            </w:pPr>
            <w:r>
              <w:t>The version information is correct after the upgrade.</w:t>
            </w:r>
          </w:p>
        </w:tc>
        <w:tc>
          <w:tcPr>
            <w:tcW w:w="1428" w:type="pct"/>
            <w:tcBorders>
              <w:top w:val="single" w:sz="6" w:space="0" w:color="000000"/>
              <w:bottom w:val="single" w:sz="6" w:space="0" w:color="000000"/>
            </w:tcBorders>
          </w:tcPr>
          <w:p>
            <w:pPr>
              <w:pStyle w:val="TableText"/>
            </w:pPr>
          </w:p>
        </w:tc>
      </w:tr>
    </w:tbl>
    <w:p/>
    <w:p>
      <w:pPr>
        <w:pStyle w:val="BlockLabel"/>
      </w:pPr>
      <w:r>
        <w:t>Procedure</w:t>
      </w:r>
    </w:p>
    <w:p>
      <w:pPr>
        <w:pStyle w:val="Step"/>
        <w:numPr>
          <w:numId w:val="67"/>
        </w:numPr>
      </w:pPr>
      <w:r>
        <w:t xml:space="preserve">Run the </w:t>
      </w:r>
      <w:r>
        <w:rPr>
          <w:b/>
        </w:rPr>
        <w:t>display emu</w:t>
      </w:r>
      <w:r>
        <w:t xml:space="preserve"> command to query the information about the SMU, including the SMU ID and status. </w:t>
      </w:r>
    </w:p>
    <w:p>
      <w:pPr>
        <w:pStyle w:val="Step"/>
      </w:pPr>
      <w:r>
        <w:t xml:space="preserve">Run the </w:t>
      </w:r>
      <w:r>
        <w:rPr>
          <w:b/>
        </w:rPr>
        <w:t>interface emu</w:t>
      </w:r>
      <w:r>
        <w:t xml:space="preserve"> command to enter the management mode of the SMU. </w:t>
      </w:r>
    </w:p>
    <w:p>
      <w:pPr>
        <w:pStyle w:val="Step"/>
      </w:pPr>
      <w:r>
        <w:t xml:space="preserve">Run the </w:t>
      </w:r>
      <w:r>
        <w:rPr>
          <w:b/>
        </w:rPr>
        <w:t>display version</w:t>
      </w:r>
      <w:r>
        <w:t xml:space="preserve"> command to check whether the current version of the SMU is the target version. </w:t>
      </w:r>
    </w:p>
    <w:p>
      <w:pPr>
        <w:pStyle w:val="End"/>
      </w:pPr>
      <w:r>
        <w:t>----End</w:t>
      </w:r>
    </w:p>
    <w:p>
      <w:pPr>
        <w:pStyle w:val="BlockLabel"/>
      </w:pPr>
      <w:r>
        <w:t>Example</w:t>
      </w:r>
    </w:p>
    <w:p>
      <w:r>
        <w:t>To query the ID, status, and version of an SMU after an upgrade, do as follows:</w:t>
      </w:r>
    </w:p>
    <w:p>
      <w:pPr>
        <w:pStyle w:val="TerminalDisplay"/>
      </w:pPr>
      <w:r>
        <w:t>huawei(config)#</w:t>
      </w:r>
      <w:r>
        <w:rPr>
          <w:b/>
        </w:rPr>
        <w:t>display emu</w:t>
      </w:r>
      <w:r>
        <w:t xml:space="preserve">  </w:t>
        <w:br/>
        <w:t xml:space="preserve">  EMU parameter </w:t>
        <w:br/>
        <w:t xml:space="preserve">  ------------------------------------------------------------------------------ </w:t>
        <w:br/>
        <w:t xml:space="preserve">    ID  Type               State       |  ID  Type               State         </w:t>
        <w:br/>
        <w:t xml:space="preserve">  ------------------------------------------------------------------------------ </w:t>
        <w:br/>
        <w:t xml:space="preserve">    0   FAN                normal      |  1   FAN                normal       </w:t>
        <w:br/>
        <w:t xml:space="preserve">    2   TCU                fault       |  3   SMU                normal       </w:t>
        <w:br/>
        <w:t xml:space="preserve">    4   -                  -           |  5   -                  -            </w:t>
        <w:br/>
        <w:t xml:space="preserve">huawei(config)#interface emu 3  </w:t>
        <w:br/>
        <w:t>huawei(config-if-smu-3)#</w:t>
      </w:r>
      <w:r>
        <w:rPr>
          <w:b/>
        </w:rPr>
        <w:t>display  version</w:t>
      </w:r>
      <w:r>
        <w:t xml:space="preserve">  </w:t>
        <w:br/>
        <w:t xml:space="preserve">  EMU ID: 3                            </w:t>
        <w:br/>
        <w:t xml:space="preserve">  ------------------------------------------------------------------------------ </w:t>
        <w:br/>
        <w:t xml:space="preserve">  Software Version          : 0161 </w:t>
        <w:br/>
        <w:t xml:space="preserve">  PCB Version               : A </w:t>
        <w:br/>
        <w:t xml:space="preserve">  Board name                : SMU11C </w:t>
        <w:br/>
        <w:t xml:space="preserve">  System name               : ETP4850 </w:t>
        <w:br/>
        <w:t xml:space="preserve">  ------------------------------------------------------------------------------</w:t>
      </w:r>
    </w:p>
    <w:p>
      <w:pPr>
        <w:sectPr>
          <w:headerReference w:type="even" r:id="rId51"/>
          <w:headerReference w:type="default" r:id="rId52"/>
          <w:footerReference w:type="even" r:id="rId53"/>
          <w:footerReference w:type="default" r:id="rId54"/>
          <w:type w:val="nextPage"/>
          <w:pgSz w:w="11907" w:h="16840" w:code="9"/>
          <w:pgMar w:top="1701" w:right="1134" w:bottom="1701" w:left="1134" w:header="567" w:footer="567" w:gutter="0"/>
          <w:pgNumType w:fmt="decimal"/>
          <w:cols w:space="425"/>
          <w:docGrid w:linePitch="312"/>
        </w:sectPr>
      </w:pPr>
    </w:p>
    <w:p>
      <w:pPr>
        <w:pStyle w:val="Heading1"/>
      </w:pPr>
      <w:bookmarkStart w:id="45" w:name="_EN-US_TOPIC_0000001480540012"/>
      <w:bookmarkEnd w:id="45"/>
      <w:bookmarkStart w:id="46" w:name="_EN-US_TOPIC_0000001480540012-chtext"/>
      <w:bookmarkStart w:id="47" w:name="_Toc256000015"/>
      <w:r>
        <w:t>Software Downgrade</w:t>
      </w:r>
      <w:bookmarkEnd w:id="47"/>
      <w:bookmarkEnd w:id="46"/>
    </w:p>
    <w:p>
      <w:r>
        <w:t>If an SMU does not work properly after the software is upgraded, you can downgrade the software to the source version.</w:t>
      </w:r>
    </w:p>
    <w:p/>
    <w:p>
      <w:pPr>
        <w:pStyle w:val="CAUTIONHeading"/>
        <w:rPr>
          <w:rFonts w:hint="eastAsia"/>
        </w:rPr>
      </w:pPr>
      <w:r>
        <w:rPr>
          <w:rFonts w:hint="eastAsia"/>
        </w:rPr>
        <w:pict>
          <v:shape id="_x0000_i1041" type="#_x0000_t75" style="width:74.5pt;height:19pt">
            <v:imagedata r:id="rId32" o:title="Notice"/>
          </v:shape>
        </w:pict>
      </w:r>
    </w:p>
    <w:p>
      <w:pPr>
        <w:pStyle w:val="CAUTIONTextList"/>
      </w:pPr>
      <w:r>
        <w:t>Load the SMU software only when an SMU is in the normal state. If an SMU cannot become normal after an upgrade, contact Huawei technical support engineers.</w:t>
      </w:r>
    </w:p>
    <w:p>
      <w:pPr>
        <w:pStyle w:val="BlockLabel"/>
      </w:pPr>
      <w:r>
        <w:t>Procedure</w:t>
      </w:r>
    </w:p>
    <w:p>
      <w:pPr>
        <w:pStyle w:val="Step"/>
        <w:numPr>
          <w:numId w:val="68"/>
        </w:numPr>
      </w:pPr>
      <w:r>
        <w:t>Copy the combined package to the configured SFTP path.</w:t>
      </w:r>
    </w:p>
    <w:p>
      <w:pPr>
        <w:pStyle w:val="Step"/>
      </w:pPr>
      <w:r>
        <w:t>Enter the diagnose mode.</w:t>
      </w:r>
    </w:p>
    <w:p>
      <w:pPr>
        <w:pStyle w:val="Step"/>
      </w:pPr>
      <w:r>
        <w:t xml:space="preserve">Run the </w:t>
      </w:r>
      <w:r>
        <w:rPr>
          <w:b/>
        </w:rPr>
        <w:t>load program emu</w:t>
      </w:r>
      <w:r>
        <w:t xml:space="preserve"> command to load the combined package. Note that you need to add the </w:t>
      </w:r>
      <w:r>
        <w:rPr>
          <w:b/>
        </w:rPr>
        <w:t>force</w:t>
      </w:r>
      <w:r>
        <w:t xml:space="preserve"> parameter when loading the software of an earlier version. Otherwise, the downgrade cannot be performed. </w:t>
      </w:r>
    </w:p>
    <w:p>
      <w:pPr>
        <w:pStyle w:val="NotesHeading"/>
        <w:rPr>
          <w:rFonts w:hint="eastAsia"/>
        </w:rPr>
      </w:pPr>
      <w:r>
        <w:rPr>
          <w:rFonts w:hint="eastAsia"/>
          <w:color w:val="339966"/>
        </w:rPr>
        <w:pict>
          <v:shape id="_x0000_i1042" type="#_x0000_t75" style="width:54.08pt;height:19pt">
            <v:imagedata r:id="rId33" o:title="note"/>
          </v:shape>
        </w:pict>
      </w:r>
    </w:p>
    <w:p>
      <w:pPr>
        <w:pStyle w:val="NotesText"/>
      </w:pPr>
      <w:r>
        <w:t>You need to wait for 10–30 minutes, depending on the size of the file to be loaded and the network status.</w:t>
      </w:r>
    </w:p>
    <w:p>
      <w:pPr>
        <w:pStyle w:val="End"/>
      </w:pPr>
      <w:r>
        <w:t>----End</w:t>
      </w:r>
    </w:p>
    <w:p>
      <w:pPr>
        <w:sectPr>
          <w:headerReference w:type="even" r:id="rId55"/>
          <w:headerReference w:type="default" r:id="rId56"/>
          <w:footerReference w:type="even" r:id="rId57"/>
          <w:footerReference w:type="default" r:id="rId58"/>
          <w:type w:val="nextPage"/>
          <w:pgSz w:w="11907" w:h="16840" w:code="9"/>
          <w:pgMar w:top="1701" w:right="1134" w:bottom="1701" w:left="1134" w:header="567" w:footer="567" w:gutter="0"/>
          <w:pgNumType w:fmt="decimal"/>
          <w:cols w:space="425"/>
          <w:docGrid w:linePitch="312"/>
        </w:sectPr>
      </w:pPr>
    </w:p>
    <w:p>
      <w:pPr>
        <w:pStyle w:val="Heading1"/>
      </w:pPr>
      <w:bookmarkStart w:id="48" w:name="_EN-US_TOPIC_0000001480540004"/>
      <w:bookmarkEnd w:id="48"/>
      <w:bookmarkStart w:id="49" w:name="_EN-US_TOPIC_0000001480540004-chtext"/>
      <w:bookmarkStart w:id="50" w:name="_Toc256000016"/>
      <w:r>
        <w:t>Common Troubleshooting</w:t>
      </w:r>
      <w:bookmarkEnd w:id="50"/>
      <w:bookmarkEnd w:id="49"/>
    </w:p>
    <w:p>
      <w:r>
        <w:t xml:space="preserve">This topic provides methods for handling common exceptions that occur during or after an upgrade. </w:t>
      </w:r>
    </w:p>
    <w:p>
      <w:pPr>
        <w:pStyle w:val="NotesHeading"/>
        <w:rPr>
          <w:rFonts w:hint="eastAsia"/>
        </w:rPr>
      </w:pPr>
      <w:r>
        <w:rPr>
          <w:rFonts w:hint="eastAsia"/>
          <w:color w:val="339966"/>
        </w:rPr>
        <w:pict>
          <v:shape id="_x0000_i1043" type="#_x0000_t75" style="width:54.08pt;height:19pt">
            <v:imagedata r:id="rId33" o:title="note"/>
          </v:shape>
        </w:pict>
      </w:r>
    </w:p>
    <w:p>
      <w:pPr>
        <w:pStyle w:val="NotesText"/>
      </w:pPr>
      <w:r>
        <w:t>If a problem cannot be solved using the provided handling methods, record the operations, collect related error information, and contact Huawei technical support engineers for help.</w:t>
      </w:r>
    </w:p>
    <w:p>
      <w:pPr>
        <w:pStyle w:val="ItemStep"/>
        <w:numPr>
          <w:ilvl w:val="0"/>
          <w:numId w:val="42"/>
        </w:numPr>
      </w:pPr>
      <w:r>
        <w:rPr>
          <w:b/>
        </w:rPr>
        <w:t>Failed to load the file.</w:t>
      </w:r>
    </w:p>
    <w:tbl>
      <w:tblPr>
        <w:tblStyle w:val="Table"/>
        <w:tblW w:w="7938" w:type="dxa"/>
        <w:tblInd w:w="1814" w:type="dxa"/>
        <w:tblLayout w:type="fixed"/>
        <w:tblLook w:val="01E0"/>
      </w:tblPr>
      <w:tblGrid>
        <w:gridCol w:w="1440"/>
        <w:gridCol w:w="1440"/>
        <w:gridCol w:w="1440"/>
      </w:tblGrid>
      <w:tr>
        <w:tblPrEx>
          <w:tblW w:w="7938" w:type="dxa"/>
          <w:tblInd w:w="1814" w:type="dxa"/>
          <w:tblLayout w:type="fixed"/>
          <w:tblLook w:val="01E0"/>
        </w:tblPrEx>
        <w:trPr>
          <w:cantSplit w:val="0"/>
          <w:tblHeader/>
        </w:trPr>
        <w:tc>
          <w:tcPr>
            <w:tcW w:w="459"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428" w:type="pct"/>
            <w:tcBorders>
              <w:top w:val="single" w:sz="6" w:space="0" w:color="000000"/>
              <w:bottom w:val="single" w:sz="6" w:space="0" w:color="000000"/>
              <w:right w:val="single" w:sz="6" w:space="0" w:color="000000"/>
            </w:tcBorders>
            <w:shd w:val="clear" w:color="auto" w:fill="D9D9D9"/>
          </w:tcPr>
          <w:p>
            <w:pPr>
              <w:pStyle w:val="TableHeading"/>
            </w:pPr>
            <w:r>
              <w:t>Error Message</w:t>
            </w:r>
          </w:p>
        </w:tc>
        <w:tc>
          <w:tcPr>
            <w:tcW w:w="3112" w:type="pct"/>
            <w:tcBorders>
              <w:top w:val="single" w:sz="6" w:space="0" w:color="000000"/>
              <w:bottom w:val="single" w:sz="6" w:space="0" w:color="000000"/>
            </w:tcBorders>
            <w:shd w:val="clear" w:color="auto" w:fill="D9D9D9"/>
          </w:tcPr>
          <w:p>
            <w:pPr>
              <w:pStyle w:val="TableHeading"/>
            </w:pPr>
            <w:r>
              <w:t>Possible Cause and Handling Method</w:t>
            </w:r>
          </w:p>
        </w:tc>
      </w:tr>
      <w:tr>
        <w:tblPrEx>
          <w:tblW w:w="7938" w:type="dxa"/>
          <w:tblInd w:w="1814" w:type="dxa"/>
          <w:tblLayout w:type="fixed"/>
          <w:tblLook w:val="01E0"/>
        </w:tblPrEx>
        <w:trPr>
          <w:cantSplit w:val="0"/>
        </w:trPr>
        <w:tc>
          <w:tcPr>
            <w:tcW w:w="459" w:type="pct"/>
            <w:tcBorders>
              <w:top w:val="single" w:sz="6" w:space="0" w:color="000000"/>
              <w:bottom w:val="single" w:sz="6" w:space="0" w:color="000000"/>
              <w:right w:val="single" w:sz="6" w:space="0" w:color="000000"/>
            </w:tcBorders>
          </w:tcPr>
          <w:p>
            <w:pPr>
              <w:pStyle w:val="TableText"/>
            </w:pPr>
            <w:r>
              <w:t>1</w:t>
            </w:r>
          </w:p>
        </w:tc>
        <w:tc>
          <w:tcPr>
            <w:tcW w:w="1428" w:type="pct"/>
            <w:tcBorders>
              <w:top w:val="single" w:sz="6" w:space="0" w:color="000000"/>
              <w:bottom w:val="single" w:sz="6" w:space="0" w:color="000000"/>
              <w:right w:val="single" w:sz="6" w:space="0" w:color="000000"/>
            </w:tcBorders>
          </w:tcPr>
          <w:p>
            <w:pPr>
              <w:pStyle w:val="TableText"/>
            </w:pPr>
            <w:r>
              <w:t>Failed to transfer the file</w:t>
            </w:r>
          </w:p>
        </w:tc>
        <w:tc>
          <w:tcPr>
            <w:tcW w:w="3112" w:type="pct"/>
            <w:tcBorders>
              <w:top w:val="single" w:sz="6" w:space="0" w:color="000000"/>
              <w:bottom w:val="single" w:sz="6" w:space="0" w:color="000000"/>
            </w:tcBorders>
          </w:tcPr>
          <w:p>
            <w:pPr>
              <w:pStyle w:val="ItemListinTable"/>
            </w:pPr>
            <w:r>
              <w:t>Check whether the network cable is connected properly. If not, reconnect the network cable and verify that the SFTP, FTP, or TFTP server can be pinged from the device.</w:t>
            </w:r>
          </w:p>
          <w:p>
            <w:pPr>
              <w:pStyle w:val="ItemListinTable"/>
            </w:pPr>
            <w:r>
              <w:t>Check whether the SFTP, FTP, or TFTP server directory where the package is stored is correct. If not, save the package to a correct directory.</w:t>
            </w:r>
          </w:p>
          <w:p>
            <w:pPr>
              <w:pStyle w:val="ItemListinTable"/>
            </w:pPr>
            <w:r>
              <w:t>Check whether the IP address of the SFTP, FTP, or TFTP server is correct. If not, enter a correct IP address.</w:t>
            </w:r>
          </w:p>
          <w:p>
            <w:pPr>
              <w:pStyle w:val="ItemListinTable"/>
            </w:pPr>
            <w:r>
              <w:t>Check whether the file name is correct. If not, enter a correct file name.</w:t>
            </w:r>
          </w:p>
          <w:p>
            <w:pPr>
              <w:pStyle w:val="ItemListinTable"/>
            </w:pPr>
            <w:r>
              <w:t>On some networks, firewalls filter FTP packets. In this case, you can load a file in TFTP or SFTP mode (SFTP is recommended).</w:t>
            </w:r>
          </w:p>
        </w:tc>
      </w:tr>
      <w:tr>
        <w:tblPrEx>
          <w:tblW w:w="7938" w:type="dxa"/>
          <w:tblInd w:w="1814" w:type="dxa"/>
          <w:tblLayout w:type="fixed"/>
          <w:tblLook w:val="01E0"/>
        </w:tblPrEx>
        <w:trPr>
          <w:cantSplit w:val="0"/>
        </w:trPr>
        <w:tc>
          <w:tcPr>
            <w:tcW w:w="459" w:type="pct"/>
            <w:tcBorders>
              <w:top w:val="single" w:sz="6" w:space="0" w:color="000000"/>
              <w:bottom w:val="single" w:sz="6" w:space="0" w:color="000000"/>
              <w:right w:val="single" w:sz="6" w:space="0" w:color="000000"/>
            </w:tcBorders>
          </w:tcPr>
          <w:p>
            <w:pPr>
              <w:pStyle w:val="TableText"/>
            </w:pPr>
            <w:r>
              <w:t>2</w:t>
            </w:r>
          </w:p>
        </w:tc>
        <w:tc>
          <w:tcPr>
            <w:tcW w:w="1428" w:type="pct"/>
            <w:tcBorders>
              <w:top w:val="single" w:sz="6" w:space="0" w:color="000000"/>
              <w:bottom w:val="single" w:sz="6" w:space="0" w:color="000000"/>
              <w:right w:val="single" w:sz="6" w:space="0" w:color="000000"/>
            </w:tcBorders>
          </w:tcPr>
          <w:p>
            <w:pPr>
              <w:pStyle w:val="TableText"/>
            </w:pPr>
            <w:r>
              <w:t>The loading file does not match the board</w:t>
            </w:r>
          </w:p>
        </w:tc>
        <w:tc>
          <w:tcPr>
            <w:tcW w:w="3112" w:type="pct"/>
            <w:tcBorders>
              <w:top w:val="single" w:sz="6" w:space="0" w:color="000000"/>
              <w:bottom w:val="single" w:sz="6" w:space="0" w:color="000000"/>
            </w:tcBorders>
          </w:tcPr>
          <w:p>
            <w:pPr>
              <w:pStyle w:val="ItemListinTable"/>
            </w:pPr>
            <w:r>
              <w:t>Check whether the entered file name is correct and whether it refers to an SMU software package.</w:t>
            </w:r>
          </w:p>
          <w:p>
            <w:pPr>
              <w:pStyle w:val="ItemListinTable"/>
            </w:pPr>
            <w:r>
              <w:t>Check whether the EMU ID entered in the command is the ID of the SMU to be upgraded.</w:t>
            </w:r>
          </w:p>
        </w:tc>
      </w:tr>
      <w:tr>
        <w:tblPrEx>
          <w:tblW w:w="7938" w:type="dxa"/>
          <w:tblInd w:w="1814" w:type="dxa"/>
          <w:tblLayout w:type="fixed"/>
          <w:tblLook w:val="01E0"/>
        </w:tblPrEx>
        <w:trPr>
          <w:cantSplit w:val="0"/>
        </w:trPr>
        <w:tc>
          <w:tcPr>
            <w:tcW w:w="459" w:type="pct"/>
            <w:tcBorders>
              <w:top w:val="single" w:sz="6" w:space="0" w:color="000000"/>
              <w:bottom w:val="single" w:sz="6" w:space="0" w:color="000000"/>
              <w:right w:val="single" w:sz="6" w:space="0" w:color="000000"/>
            </w:tcBorders>
          </w:tcPr>
          <w:p>
            <w:pPr>
              <w:pStyle w:val="TableText"/>
            </w:pPr>
            <w:r>
              <w:t>3</w:t>
            </w:r>
          </w:p>
        </w:tc>
        <w:tc>
          <w:tcPr>
            <w:tcW w:w="1428" w:type="pct"/>
            <w:tcBorders>
              <w:top w:val="single" w:sz="6" w:space="0" w:color="000000"/>
              <w:bottom w:val="single" w:sz="6" w:space="0" w:color="000000"/>
              <w:right w:val="single" w:sz="6" w:space="0" w:color="000000"/>
            </w:tcBorders>
          </w:tcPr>
          <w:p>
            <w:pPr>
              <w:pStyle w:val="TableText"/>
            </w:pPr>
            <w:r>
              <w:t>The file does not exist</w:t>
            </w:r>
          </w:p>
        </w:tc>
        <w:tc>
          <w:tcPr>
            <w:tcW w:w="3112" w:type="pct"/>
            <w:tcBorders>
              <w:top w:val="single" w:sz="6" w:space="0" w:color="000000"/>
              <w:bottom w:val="single" w:sz="6" w:space="0" w:color="000000"/>
            </w:tcBorders>
          </w:tcPr>
          <w:p>
            <w:pPr>
              <w:pStyle w:val="ItemListinTable"/>
            </w:pPr>
            <w:r>
              <w:t xml:space="preserve">Check whether the SMU combined package contains the software for the corresponding SMU board. There may be multiple SMU combined packages released, and you need to obtain the correct one. </w:t>
            </w:r>
          </w:p>
        </w:tc>
      </w:tr>
      <w:tr>
        <w:tblPrEx>
          <w:tblW w:w="7938" w:type="dxa"/>
          <w:tblInd w:w="1814" w:type="dxa"/>
          <w:tblLayout w:type="fixed"/>
          <w:tblLook w:val="01E0"/>
        </w:tblPrEx>
        <w:trPr>
          <w:cantSplit w:val="0"/>
        </w:trPr>
        <w:tc>
          <w:tcPr>
            <w:tcW w:w="459" w:type="pct"/>
            <w:tcBorders>
              <w:top w:val="single" w:sz="6" w:space="0" w:color="000000"/>
              <w:bottom w:val="single" w:sz="6" w:space="0" w:color="000000"/>
              <w:right w:val="single" w:sz="6" w:space="0" w:color="000000"/>
            </w:tcBorders>
          </w:tcPr>
          <w:p>
            <w:pPr>
              <w:pStyle w:val="TableText"/>
            </w:pPr>
            <w:r>
              <w:t>4</w:t>
            </w:r>
          </w:p>
        </w:tc>
        <w:tc>
          <w:tcPr>
            <w:tcW w:w="1428" w:type="pct"/>
            <w:tcBorders>
              <w:top w:val="single" w:sz="6" w:space="0" w:color="000000"/>
              <w:bottom w:val="single" w:sz="6" w:space="0" w:color="000000"/>
              <w:right w:val="single" w:sz="6" w:space="0" w:color="000000"/>
            </w:tcBorders>
          </w:tcPr>
          <w:p>
            <w:pPr>
              <w:pStyle w:val="TableText"/>
            </w:pPr>
            <w:r>
              <w:t>The software of a later version has been installed. You are not allowed to load the software of an earlier version.</w:t>
            </w:r>
          </w:p>
        </w:tc>
        <w:tc>
          <w:tcPr>
            <w:tcW w:w="3112" w:type="pct"/>
            <w:tcBorders>
              <w:top w:val="single" w:sz="6" w:space="0" w:color="000000"/>
              <w:bottom w:val="single" w:sz="6" w:space="0" w:color="000000"/>
            </w:tcBorders>
          </w:tcPr>
          <w:p>
            <w:pPr>
              <w:pStyle w:val="ItemListinTable"/>
            </w:pPr>
            <w:r>
              <w:t xml:space="preserve">This message is displayed when the software package of an earlier version is loaded. Load a software package of a later version. If a software package of an earlier version needs to be loaded, add the force parameter to the end of the </w:t>
            </w:r>
            <w:r>
              <w:rPr>
                <w:b/>
              </w:rPr>
              <w:t>load program emu</w:t>
            </w:r>
            <w:r>
              <w:t xml:space="preserve"> command.</w:t>
            </w:r>
          </w:p>
        </w:tc>
      </w:tr>
      <w:tr>
        <w:tblPrEx>
          <w:tblW w:w="7938" w:type="dxa"/>
          <w:tblInd w:w="1814" w:type="dxa"/>
          <w:tblLayout w:type="fixed"/>
          <w:tblLook w:val="01E0"/>
        </w:tblPrEx>
        <w:trPr>
          <w:cantSplit w:val="0"/>
        </w:trPr>
        <w:tc>
          <w:tcPr>
            <w:tcW w:w="459" w:type="pct"/>
            <w:tcBorders>
              <w:top w:val="single" w:sz="6" w:space="0" w:color="000000"/>
              <w:bottom w:val="single" w:sz="6" w:space="0" w:color="000000"/>
              <w:right w:val="single" w:sz="6" w:space="0" w:color="000000"/>
            </w:tcBorders>
          </w:tcPr>
          <w:p>
            <w:pPr>
              <w:pStyle w:val="TableText"/>
            </w:pPr>
            <w:r>
              <w:t>6</w:t>
            </w:r>
          </w:p>
        </w:tc>
        <w:tc>
          <w:tcPr>
            <w:tcW w:w="1428" w:type="pct"/>
            <w:tcBorders>
              <w:top w:val="single" w:sz="6" w:space="0" w:color="000000"/>
              <w:bottom w:val="single" w:sz="6" w:space="0" w:color="000000"/>
              <w:right w:val="single" w:sz="6" w:space="0" w:color="000000"/>
            </w:tcBorders>
          </w:tcPr>
          <w:p>
            <w:pPr>
              <w:pStyle w:val="TableText"/>
            </w:pPr>
            <w:r>
              <w:t>User name, password, or configuration of the file server is incorrect</w:t>
            </w:r>
          </w:p>
        </w:tc>
        <w:tc>
          <w:tcPr>
            <w:tcW w:w="3112" w:type="pct"/>
            <w:tcBorders>
              <w:top w:val="single" w:sz="6" w:space="0" w:color="000000"/>
              <w:bottom w:val="single" w:sz="6" w:space="0" w:color="000000"/>
            </w:tcBorders>
          </w:tcPr>
          <w:p>
            <w:pPr>
              <w:pStyle w:val="ItemListinTable"/>
            </w:pPr>
            <w:r>
              <w:t xml:space="preserve">Check whether the user name and password entered on the device are inconsistent with those configured on the SFTP or FTP server. Enter the correct user name and password. </w:t>
            </w:r>
          </w:p>
        </w:tc>
      </w:tr>
    </w:tbl>
    <w:p/>
    <w:p>
      <w:pPr>
        <w:pStyle w:val="ItemStep"/>
        <w:numPr>
          <w:ilvl w:val="0"/>
          <w:numId w:val="42"/>
        </w:numPr>
      </w:pPr>
      <w:r>
        <w:rPr>
          <w:b/>
        </w:rPr>
        <w:t>The version after the upgrade is incorrect.</w:t>
      </w:r>
    </w:p>
    <w:p>
      <w:pPr>
        <w:pStyle w:val="ItemListText"/>
      </w:pPr>
      <w:r>
        <w:t>Check whether the SMU upgrade conditions are met. If yes, upgrade the SMU again.</w:t>
      </w:r>
    </w:p>
    <w:p>
      <w:pPr>
        <w:sectPr>
          <w:headerReference w:type="even" r:id="rId59"/>
          <w:headerReference w:type="default" r:id="rId60"/>
          <w:footerReference w:type="even" r:id="rId61"/>
          <w:footerReference w:type="default" r:id="rId62"/>
          <w:type w:val="nextPage"/>
          <w:pgSz w:w="11907" w:h="16840" w:code="9"/>
          <w:pgMar w:top="1701" w:right="1134" w:bottom="1701" w:left="1134" w:header="567" w:footer="567" w:gutter="0"/>
          <w:pgNumType w:fmt="decimal"/>
          <w:cols w:space="425"/>
          <w:docGrid w:linePitch="312"/>
        </w:sectPr>
      </w:pPr>
    </w:p>
    <w:bookmarkStart w:id="51" w:name="_EN-US_TOPIC_0000001480220176"/>
    <w:bookmarkEnd w:id="51"/>
    <w:p>
      <w:pPr>
        <w:pStyle w:val="Heading1"/>
      </w:pPr>
      <w:bookmarkStart w:id="52" w:name="_EN-US_TOPIC_0000001480220176-chtext"/>
      <w:bookmarkStart w:id="53" w:name="_Toc256000017"/>
      <w:r>
        <w:t>Appendix</w:t>
      </w:r>
      <w:bookmarkEnd w:id="53"/>
      <w:bookmarkEnd w:id="52"/>
    </w:p>
    <w:p>
      <w:hyperlink w:anchor="_EN-US_TOPIC_0000001531220397" w:tooltip=" " w:history="1">
        <w:r>
          <w:rPr>
            <w:rStyle w:val="Hyperlink"/>
          </w:rPr>
          <w:t>8.1  Upgrade Checklist</w:t>
        </w:r>
      </w:hyperlink>
    </w:p>
    <w:p>
      <w:hyperlink w:anchor="_EN-US_TOPIC_0000001531139897" w:tooltip=" " w:history="1">
        <w:r>
          <w:rPr>
            <w:rStyle w:val="Hyperlink"/>
          </w:rPr>
          <w:t>8.2  Alarms and Events</w:t>
        </w:r>
      </w:hyperlink>
    </w:p>
    <w:bookmarkStart w:id="54" w:name="_EN-US_TOPIC_0000001531220397"/>
    <w:bookmarkEnd w:id="54"/>
    <w:p>
      <w:pPr>
        <w:pStyle w:val="Heading2"/>
        <w:numPr>
          <w:numId w:val="61"/>
        </w:numPr>
      </w:pPr>
      <w:bookmarkStart w:id="55" w:name="_EN-US_TOPIC_0000001531220397-chtext"/>
      <w:bookmarkStart w:id="56" w:name="_Toc256000018"/>
      <w:r>
        <w:t>Upgrade Checklist</w:t>
      </w:r>
      <w:bookmarkEnd w:id="56"/>
      <w:bookmarkEnd w:id="55"/>
    </w:p>
    <w:p>
      <w:r>
        <w:t>You are advised to use the following checklist to record the entire upgrade process.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75" w:type="pct"/>
            <w:tcBorders>
              <w:top w:val="single" w:sz="6" w:space="0" w:color="000000"/>
              <w:bottom w:val="single" w:sz="6" w:space="0" w:color="000000"/>
              <w:right w:val="single" w:sz="6" w:space="0" w:color="000000"/>
            </w:tcBorders>
          </w:tcPr>
          <w:p>
            <w:pPr>
              <w:pStyle w:val="TableText"/>
            </w:pPr>
            <w:r>
              <w:t>Office Name</w:t>
            </w: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r>
              <w:t>Upgrade Time</w:t>
            </w:r>
          </w:p>
        </w:tc>
        <w:tc>
          <w:tcPr>
            <w:tcW w:w="1887"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275" w:type="pct"/>
            <w:tcBorders>
              <w:top w:val="single" w:sz="6" w:space="0" w:color="000000"/>
              <w:bottom w:val="single" w:sz="6" w:space="0" w:color="000000"/>
              <w:right w:val="single" w:sz="6" w:space="0" w:color="000000"/>
            </w:tcBorders>
          </w:tcPr>
          <w:p>
            <w:pPr>
              <w:pStyle w:val="TableText"/>
            </w:pPr>
            <w:r>
              <w:t>Source Version</w:t>
            </w: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r>
              <w:t>Target Version</w:t>
            </w:r>
          </w:p>
        </w:tc>
        <w:tc>
          <w:tcPr>
            <w:tcW w:w="1887"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275" w:type="pct"/>
            <w:tcBorders>
              <w:top w:val="single" w:sz="6" w:space="0" w:color="000000"/>
              <w:bottom w:val="single" w:sz="6" w:space="0" w:color="000000"/>
              <w:right w:val="single" w:sz="6" w:space="0" w:color="000000"/>
            </w:tcBorders>
          </w:tcPr>
          <w:p>
            <w:pPr>
              <w:pStyle w:val="TableText"/>
            </w:pPr>
            <w:r>
              <w:t>Upgrade Engineer</w:t>
            </w:r>
          </w:p>
        </w:tc>
        <w:tc>
          <w:tcPr>
            <w:tcW w:w="3724" w:type="pct"/>
            <w:gridSpan w:val="3"/>
            <w:tcBorders>
              <w:top w:val="single" w:sz="6" w:space="0" w:color="000000"/>
              <w:bottom w:val="single" w:sz="6" w:space="0" w:color="000000"/>
              <w:right w:val="single" w:sz="6" w:space="0" w:color="000000"/>
            </w:tcBorders>
          </w:tcPr>
          <w:p>
            <w:pPr>
              <w:pStyle w:val="TableText"/>
            </w:pPr>
            <w:r>
              <w:t>Operator personnel:</w:t>
            </w:r>
          </w:p>
          <w:p>
            <w:pPr>
              <w:pStyle w:val="TableText"/>
            </w:pPr>
            <w:r>
              <w:t>Huawei personnel:</w:t>
            </w:r>
          </w:p>
        </w:tc>
      </w:tr>
      <w:tr>
        <w:tblPrEx>
          <w:tblW w:w="7938" w:type="dxa"/>
          <w:tblInd w:w="1814" w:type="dxa"/>
          <w:tblLayout w:type="fixed"/>
          <w:tblLook w:val="01E0"/>
        </w:tblPrEx>
        <w:trPr>
          <w:cantSplit w:val="0"/>
        </w:trPr>
        <w:tc>
          <w:tcPr>
            <w:tcW w:w="1275" w:type="pct"/>
            <w:tcBorders>
              <w:top w:val="single" w:sz="6" w:space="0" w:color="000000"/>
              <w:bottom w:val="single" w:sz="6" w:space="0" w:color="000000"/>
              <w:right w:val="single" w:sz="6" w:space="0" w:color="000000"/>
            </w:tcBorders>
          </w:tcPr>
          <w:p>
            <w:pPr>
              <w:pStyle w:val="TableText"/>
            </w:pPr>
            <w:r>
              <w:t>Is the Upgrade Successful?</w:t>
            </w:r>
          </w:p>
        </w:tc>
        <w:tc>
          <w:tcPr>
            <w:tcW w:w="3724" w:type="pct"/>
            <w:gridSpan w:val="3"/>
            <w:tcBorders>
              <w:top w:val="single" w:sz="6" w:space="0" w:color="000000"/>
              <w:bottom w:val="single" w:sz="6" w:space="0" w:color="000000"/>
              <w:right w:val="single" w:sz="6" w:space="0" w:color="000000"/>
            </w:tcBorders>
          </w:tcPr>
          <w:p>
            <w:pPr>
              <w:pStyle w:val="TableText"/>
            </w:pPr>
          </w:p>
        </w:tc>
      </w:tr>
      <w:tr>
        <w:tblPrEx>
          <w:tblW w:w="7938" w:type="dxa"/>
          <w:tblInd w:w="1814" w:type="dxa"/>
          <w:tblLayout w:type="fixed"/>
          <w:tblLook w:val="01E0"/>
        </w:tblPrEx>
        <w:trPr>
          <w:cantSplit w:val="0"/>
        </w:trPr>
        <w:tc>
          <w:tcPr>
            <w:tcW w:w="1938" w:type="pct"/>
            <w:gridSpan w:val="2"/>
            <w:tcBorders>
              <w:top w:val="single" w:sz="6" w:space="0" w:color="000000"/>
              <w:bottom w:val="single" w:sz="6" w:space="0" w:color="000000"/>
              <w:right w:val="single" w:sz="6" w:space="0" w:color="000000"/>
            </w:tcBorders>
          </w:tcPr>
          <w:p>
            <w:pPr>
              <w:pStyle w:val="TableText"/>
            </w:pPr>
            <w:r>
              <w:rPr>
                <w:b/>
              </w:rPr>
              <w:t>Upgrade Checklist</w:t>
            </w:r>
          </w:p>
        </w:tc>
        <w:tc>
          <w:tcPr>
            <w:tcW w:w="1173" w:type="pct"/>
            <w:tcBorders>
              <w:top w:val="single" w:sz="6" w:space="0" w:color="000000"/>
              <w:bottom w:val="single" w:sz="6" w:space="0" w:color="000000"/>
              <w:right w:val="single" w:sz="6" w:space="0" w:color="000000"/>
            </w:tcBorders>
          </w:tcPr>
          <w:p>
            <w:pPr>
              <w:pStyle w:val="TableText"/>
            </w:pPr>
            <w:r>
              <w:rPr>
                <w:b/>
              </w:rPr>
              <w:t>Conclusion</w:t>
            </w:r>
          </w:p>
        </w:tc>
        <w:tc>
          <w:tcPr>
            <w:tcW w:w="1887" w:type="pct"/>
            <w:tcBorders>
              <w:top w:val="single" w:sz="6" w:space="0" w:color="000000"/>
              <w:bottom w:val="single" w:sz="6" w:space="0" w:color="000000"/>
              <w:right w:val="single" w:sz="6" w:space="0" w:color="000000"/>
            </w:tcBorders>
          </w:tcPr>
          <w:p>
            <w:pPr>
              <w:pStyle w:val="TableText"/>
            </w:pPr>
            <w:r>
              <w:rPr>
                <w:b/>
              </w:rPr>
              <w:t>Exception Handling</w:t>
            </w:r>
          </w:p>
        </w:tc>
      </w:tr>
      <w:tr>
        <w:tblPrEx>
          <w:tblW w:w="7938" w:type="dxa"/>
          <w:tblInd w:w="1814" w:type="dxa"/>
          <w:tblLayout w:type="fixed"/>
          <w:tblLook w:val="01E0"/>
        </w:tblPrEx>
        <w:trPr>
          <w:cantSplit w:val="0"/>
        </w:trPr>
        <w:tc>
          <w:tcPr>
            <w:tcW w:w="1275" w:type="pct"/>
            <w:vMerge w:val="restart"/>
            <w:tcBorders>
              <w:top w:val="single" w:sz="6" w:space="0" w:color="000000"/>
              <w:bottom w:val="single" w:sz="6" w:space="0" w:color="000000"/>
              <w:right w:val="single" w:sz="6" w:space="0" w:color="000000"/>
            </w:tcBorders>
          </w:tcPr>
          <w:p>
            <w:pPr>
              <w:pStyle w:val="TableText"/>
            </w:pPr>
            <w:r>
              <w:t>Pre-upgrade check</w:t>
            </w: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vMerge/>
          </w:tcPr>
          <w:p>
            <w:pPr>
              <w:pStyle w:val="TableText"/>
            </w:pP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right w:val="single" w:sz="6" w:space="0" w:color="000000"/>
            </w:tcBorders>
          </w:tcPr>
          <w:p>
            <w:pPr>
              <w:pStyle w:val="TableText"/>
            </w:pPr>
          </w:p>
        </w:tc>
      </w:tr>
      <w:tr>
        <w:tblPrEx>
          <w:tblW w:w="7938" w:type="dxa"/>
          <w:tblInd w:w="1814" w:type="dxa"/>
          <w:tblLayout w:type="fixed"/>
          <w:tblLook w:val="01E0"/>
        </w:tblPrEx>
        <w:trPr>
          <w:cantSplit w:val="0"/>
        </w:trPr>
        <w:tc>
          <w:tcPr>
            <w:vMerge/>
          </w:tcPr>
          <w:p>
            <w:pPr>
              <w:pStyle w:val="TableText"/>
            </w:pP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right w:val="single" w:sz="6" w:space="0" w:color="000000"/>
            </w:tcBorders>
          </w:tcPr>
          <w:p>
            <w:pPr>
              <w:pStyle w:val="TableText"/>
            </w:pPr>
          </w:p>
        </w:tc>
      </w:tr>
      <w:tr>
        <w:tblPrEx>
          <w:tblW w:w="7938" w:type="dxa"/>
          <w:tblInd w:w="1814" w:type="dxa"/>
          <w:tblLayout w:type="fixed"/>
          <w:tblLook w:val="01E0"/>
        </w:tblPrEx>
        <w:trPr>
          <w:cantSplit w:val="0"/>
        </w:trPr>
        <w:tc>
          <w:tcPr>
            <w:vMerge/>
          </w:tcPr>
          <w:p>
            <w:pPr>
              <w:pStyle w:val="TableText"/>
            </w:pP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right w:val="single" w:sz="6" w:space="0" w:color="000000"/>
            </w:tcBorders>
          </w:tcPr>
          <w:p>
            <w:pPr>
              <w:pStyle w:val="TableText"/>
            </w:pPr>
          </w:p>
        </w:tc>
      </w:tr>
      <w:tr>
        <w:tblPrEx>
          <w:tblW w:w="7938" w:type="dxa"/>
          <w:tblInd w:w="1814" w:type="dxa"/>
          <w:tblLayout w:type="fixed"/>
          <w:tblLook w:val="01E0"/>
        </w:tblPrEx>
        <w:trPr>
          <w:cantSplit w:val="0"/>
        </w:trPr>
        <w:tc>
          <w:tcPr>
            <w:tcW w:w="1275" w:type="pct"/>
            <w:vMerge w:val="restart"/>
            <w:tcBorders>
              <w:top w:val="single" w:sz="6" w:space="0" w:color="000000"/>
              <w:bottom w:val="single" w:sz="6" w:space="0" w:color="000000"/>
              <w:right w:val="single" w:sz="6" w:space="0" w:color="000000"/>
            </w:tcBorders>
          </w:tcPr>
          <w:p>
            <w:pPr>
              <w:pStyle w:val="TableText"/>
            </w:pPr>
            <w:r>
              <w:t>Upgrade procedure check</w:t>
            </w: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vMerge/>
          </w:tcPr>
          <w:p>
            <w:pPr>
              <w:pStyle w:val="TableText"/>
            </w:pP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right w:val="single" w:sz="6" w:space="0" w:color="000000"/>
            </w:tcBorders>
          </w:tcPr>
          <w:p>
            <w:pPr>
              <w:pStyle w:val="TableText"/>
            </w:pPr>
          </w:p>
        </w:tc>
      </w:tr>
      <w:tr>
        <w:tblPrEx>
          <w:tblW w:w="7938" w:type="dxa"/>
          <w:tblInd w:w="1814" w:type="dxa"/>
          <w:tblLayout w:type="fixed"/>
          <w:tblLook w:val="01E0"/>
        </w:tblPrEx>
        <w:trPr>
          <w:cantSplit w:val="0"/>
        </w:trPr>
        <w:tc>
          <w:tcPr>
            <w:vMerge/>
          </w:tcPr>
          <w:p>
            <w:pPr>
              <w:pStyle w:val="TableText"/>
            </w:pP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right w:val="single" w:sz="6" w:space="0" w:color="000000"/>
            </w:tcBorders>
          </w:tcPr>
          <w:p>
            <w:pPr>
              <w:pStyle w:val="TableText"/>
            </w:pPr>
          </w:p>
        </w:tc>
      </w:tr>
      <w:tr>
        <w:tblPrEx>
          <w:tblW w:w="7938" w:type="dxa"/>
          <w:tblInd w:w="1814" w:type="dxa"/>
          <w:tblLayout w:type="fixed"/>
          <w:tblLook w:val="01E0"/>
        </w:tblPrEx>
        <w:trPr>
          <w:cantSplit w:val="0"/>
        </w:trPr>
        <w:tc>
          <w:tcPr>
            <w:vMerge/>
          </w:tcPr>
          <w:p>
            <w:pPr>
              <w:pStyle w:val="TableText"/>
            </w:pP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right w:val="single" w:sz="6" w:space="0" w:color="000000"/>
            </w:tcBorders>
          </w:tcPr>
          <w:p>
            <w:pPr>
              <w:pStyle w:val="TableText"/>
            </w:pPr>
          </w:p>
        </w:tc>
      </w:tr>
      <w:tr>
        <w:tblPrEx>
          <w:tblW w:w="7938" w:type="dxa"/>
          <w:tblInd w:w="1814" w:type="dxa"/>
          <w:tblLayout w:type="fixed"/>
          <w:tblLook w:val="01E0"/>
        </w:tblPrEx>
        <w:trPr>
          <w:cantSplit w:val="0"/>
        </w:trPr>
        <w:tc>
          <w:tcPr>
            <w:vMerge/>
          </w:tcPr>
          <w:p>
            <w:pPr>
              <w:pStyle w:val="TableText"/>
            </w:pP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right w:val="single" w:sz="6" w:space="0" w:color="000000"/>
            </w:tcBorders>
          </w:tcPr>
          <w:p>
            <w:pPr>
              <w:pStyle w:val="TableText"/>
            </w:pPr>
          </w:p>
        </w:tc>
      </w:tr>
      <w:tr>
        <w:tblPrEx>
          <w:tblW w:w="7938" w:type="dxa"/>
          <w:tblInd w:w="1814" w:type="dxa"/>
          <w:tblLayout w:type="fixed"/>
          <w:tblLook w:val="01E0"/>
        </w:tblPrEx>
        <w:trPr>
          <w:cantSplit w:val="0"/>
        </w:trPr>
        <w:tc>
          <w:tcPr>
            <w:tcW w:w="1275" w:type="pct"/>
            <w:vMerge w:val="restart"/>
            <w:tcBorders>
              <w:top w:val="single" w:sz="6" w:space="0" w:color="000000"/>
              <w:bottom w:val="single" w:sz="6" w:space="0" w:color="000000"/>
              <w:right w:val="single" w:sz="6" w:space="0" w:color="000000"/>
            </w:tcBorders>
          </w:tcPr>
          <w:p>
            <w:pPr>
              <w:pStyle w:val="TableText"/>
            </w:pPr>
            <w:r>
              <w:t>Post-upgrade check</w:t>
            </w: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vMerge/>
          </w:tcPr>
          <w:p>
            <w:pPr>
              <w:pStyle w:val="TableText"/>
            </w:pP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right w:val="single" w:sz="6" w:space="0" w:color="000000"/>
            </w:tcBorders>
          </w:tcPr>
          <w:p>
            <w:pPr>
              <w:pStyle w:val="TableText"/>
            </w:pPr>
          </w:p>
        </w:tc>
      </w:tr>
      <w:tr>
        <w:tblPrEx>
          <w:tblW w:w="7938" w:type="dxa"/>
          <w:tblInd w:w="1814" w:type="dxa"/>
          <w:tblLayout w:type="fixed"/>
          <w:tblLook w:val="01E0"/>
        </w:tblPrEx>
        <w:trPr>
          <w:cantSplit w:val="0"/>
        </w:trPr>
        <w:tc>
          <w:tcPr>
            <w:vMerge/>
          </w:tcPr>
          <w:p>
            <w:pPr>
              <w:pStyle w:val="TableText"/>
            </w:pP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right w:val="single" w:sz="6" w:space="0" w:color="000000"/>
            </w:tcBorders>
          </w:tcPr>
          <w:p>
            <w:pPr>
              <w:pStyle w:val="TableText"/>
            </w:pPr>
          </w:p>
        </w:tc>
      </w:tr>
      <w:tr>
        <w:tblPrEx>
          <w:tblW w:w="7938" w:type="dxa"/>
          <w:tblInd w:w="1814" w:type="dxa"/>
          <w:tblLayout w:type="fixed"/>
          <w:tblLook w:val="01E0"/>
        </w:tblPrEx>
        <w:trPr>
          <w:cantSplit w:val="0"/>
        </w:trPr>
        <w:tc>
          <w:tcPr>
            <w:vMerge/>
          </w:tcPr>
          <w:p>
            <w:pPr>
              <w:pStyle w:val="TableText"/>
            </w:pPr>
          </w:p>
        </w:tc>
        <w:tc>
          <w:tcPr>
            <w:tcW w:w="663" w:type="pct"/>
            <w:tcBorders>
              <w:top w:val="single" w:sz="6" w:space="0" w:color="000000"/>
              <w:bottom w:val="single" w:sz="6" w:space="0" w:color="000000"/>
              <w:right w:val="single" w:sz="6" w:space="0" w:color="000000"/>
            </w:tcBorders>
          </w:tcPr>
          <w:p>
            <w:pPr>
              <w:pStyle w:val="TableText"/>
            </w:pPr>
          </w:p>
        </w:tc>
        <w:tc>
          <w:tcPr>
            <w:tcW w:w="1173" w:type="pct"/>
            <w:tcBorders>
              <w:top w:val="single" w:sz="6" w:space="0" w:color="000000"/>
              <w:bottom w:val="single" w:sz="6" w:space="0" w:color="000000"/>
              <w:right w:val="single" w:sz="6" w:space="0" w:color="000000"/>
            </w:tcBorders>
          </w:tcPr>
          <w:p>
            <w:pPr>
              <w:pStyle w:val="TableText"/>
            </w:pPr>
          </w:p>
        </w:tc>
        <w:tc>
          <w:tcPr>
            <w:tcW w:w="1887" w:type="pct"/>
            <w:tcBorders>
              <w:top w:val="single" w:sz="6" w:space="0" w:color="000000"/>
              <w:bottom w:val="single" w:sz="6" w:space="0" w:color="000000"/>
              <w:right w:val="single" w:sz="6" w:space="0" w:color="000000"/>
            </w:tcBorders>
          </w:tcPr>
          <w:p>
            <w:pPr>
              <w:pStyle w:val="TableText"/>
            </w:pPr>
          </w:p>
        </w:tc>
      </w:tr>
    </w:tbl>
    <w:p/>
    <w:bookmarkStart w:id="57" w:name="_EN-US_TOPIC_0000001531139897"/>
    <w:bookmarkEnd w:id="57"/>
    <w:p>
      <w:pPr>
        <w:pStyle w:val="Heading2"/>
      </w:pPr>
      <w:bookmarkStart w:id="58" w:name="_EN-US_TOPIC_0000001531139897-chtext"/>
      <w:bookmarkStart w:id="59" w:name="_Toc256000019"/>
      <w:r>
        <w:t>Alarms and Events</w:t>
      </w:r>
      <w:bookmarkEnd w:id="59"/>
      <w:bookmarkEnd w:id="58"/>
    </w:p>
    <w:p>
      <w:r>
        <w:t xml:space="preserve">During an upgrade, the system reports alarms and events. Some alarms and events can be automatically cleared, but some cannot. </w:t>
      </w:r>
    </w:p>
    <w:p>
      <w:pPr>
        <w:pStyle w:val="NotesHeading"/>
        <w:rPr>
          <w:rFonts w:hint="eastAsia"/>
        </w:rPr>
      </w:pPr>
      <w:r>
        <w:rPr>
          <w:rFonts w:hint="eastAsia"/>
          <w:color w:val="339966"/>
        </w:rPr>
        <w:pict>
          <v:shape id="_x0000_i1044" type="#_x0000_t75" style="width:54.08pt;height:19pt">
            <v:imagedata r:id="rId33" o:title="note"/>
          </v:shape>
        </w:pict>
      </w:r>
    </w:p>
    <w:p>
      <w:pPr>
        <w:pStyle w:val="NotesText"/>
      </w:pPr>
      <w:r>
        <w:t>The following alarms and events are obtained from the lab data and are for reference only.</w:t>
      </w:r>
    </w:p>
    <w:p>
      <w:pPr>
        <w:pStyle w:val="BlockLabel"/>
      </w:pPr>
      <w:r>
        <w:t>Alarms</w:t>
      </w:r>
    </w:p>
    <w:tbl>
      <w:tblPr>
        <w:tblStyle w:val="Table"/>
        <w:tblW w:w="7938" w:type="dxa"/>
        <w:tblInd w:w="1814" w:type="dxa"/>
        <w:tblLayout w:type="fixed"/>
        <w:tblLook w:val="01E0"/>
      </w:tblPr>
      <w:tblGrid>
        <w:gridCol w:w="1440"/>
        <w:gridCol w:w="1440"/>
        <w:gridCol w:w="1440"/>
        <w:gridCol w:w="1440"/>
        <w:gridCol w:w="1440"/>
      </w:tblGrid>
      <w:tr>
        <w:tblPrEx>
          <w:tblW w:w="7938" w:type="dxa"/>
          <w:tblInd w:w="1814" w:type="dxa"/>
          <w:tblLayout w:type="fixed"/>
          <w:tblLook w:val="01E0"/>
        </w:tblPrEx>
        <w:trPr>
          <w:cantSplit w:val="0"/>
          <w:tblHeader/>
        </w:trPr>
        <w:tc>
          <w:tcPr>
            <w:tcW w:w="969" w:type="pct"/>
            <w:tcBorders>
              <w:top w:val="single" w:sz="6" w:space="0" w:color="000000"/>
              <w:bottom w:val="single" w:sz="6" w:space="0" w:color="000000"/>
              <w:right w:val="single" w:sz="6" w:space="0" w:color="000000"/>
            </w:tcBorders>
            <w:shd w:val="clear" w:color="auto" w:fill="D9D9D9"/>
          </w:tcPr>
          <w:p>
            <w:pPr>
              <w:pStyle w:val="TableHeading"/>
            </w:pPr>
            <w:r>
              <w:t>Alarm</w:t>
            </w:r>
          </w:p>
        </w:tc>
        <w:tc>
          <w:tcPr>
            <w:tcW w:w="1020" w:type="pct"/>
            <w:tcBorders>
              <w:top w:val="single" w:sz="6" w:space="0" w:color="000000"/>
              <w:bottom w:val="single" w:sz="6" w:space="0" w:color="000000"/>
              <w:right w:val="single" w:sz="6" w:space="0" w:color="000000"/>
            </w:tcBorders>
            <w:shd w:val="clear" w:color="auto" w:fill="D9D9D9"/>
          </w:tcPr>
          <w:p>
            <w:pPr>
              <w:pStyle w:val="TableHeading"/>
            </w:pPr>
            <w:r>
              <w:t>Quantity</w:t>
            </w:r>
          </w:p>
        </w:tc>
        <w:tc>
          <w:tcPr>
            <w:tcW w:w="102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867" w:type="pct"/>
            <w:tcBorders>
              <w:top w:val="single" w:sz="6" w:space="0" w:color="000000"/>
              <w:bottom w:val="single" w:sz="6" w:space="0" w:color="000000"/>
              <w:right w:val="single" w:sz="6" w:space="0" w:color="000000"/>
            </w:tcBorders>
            <w:shd w:val="clear" w:color="auto" w:fill="D9D9D9"/>
          </w:tcPr>
          <w:p>
            <w:pPr>
              <w:pStyle w:val="TableHeading"/>
            </w:pPr>
            <w:r>
              <w:t>Support Automatic Alarm Clearance or Not</w:t>
            </w:r>
          </w:p>
        </w:tc>
        <w:tc>
          <w:tcPr>
            <w:tcW w:w="1122" w:type="pct"/>
            <w:tcBorders>
              <w:top w:val="single" w:sz="6" w:space="0" w:color="000000"/>
              <w:bottom w:val="single" w:sz="6" w:space="0" w:color="000000"/>
            </w:tcBorders>
            <w:shd w:val="clear" w:color="auto" w:fill="D9D9D9"/>
          </w:tcPr>
          <w:p>
            <w:pPr>
              <w:pStyle w:val="TableHeading"/>
            </w:pPr>
            <w:r>
              <w:t>Clear Alarm</w:t>
            </w:r>
          </w:p>
        </w:tc>
      </w:tr>
      <w:tr>
        <w:tblPrEx>
          <w:tblW w:w="7938" w:type="dxa"/>
          <w:tblInd w:w="1814" w:type="dxa"/>
          <w:tblLayout w:type="fixed"/>
          <w:tblLook w:val="01E0"/>
        </w:tblPrEx>
        <w:trPr>
          <w:cantSplit w:val="0"/>
        </w:trPr>
        <w:tc>
          <w:tcPr>
            <w:tcW w:w="969" w:type="pct"/>
            <w:tcBorders>
              <w:top w:val="single" w:sz="6" w:space="0" w:color="000000"/>
              <w:bottom w:val="single" w:sz="6" w:space="0" w:color="000000"/>
              <w:right w:val="single" w:sz="6" w:space="0" w:color="000000"/>
            </w:tcBorders>
          </w:tcPr>
          <w:p>
            <w:pPr>
              <w:pStyle w:val="TableText"/>
            </w:pPr>
            <w:r>
              <w:t>The communication between the SMU and the control board is abnormal</w:t>
            </w:r>
          </w:p>
          <w:p>
            <w:pPr>
              <w:pStyle w:val="NotesHeadinginTable"/>
            </w:pPr>
            <w:r>
              <w:t>NOTE</w:t>
            </w:r>
          </w:p>
          <w:p>
            <w:pPr>
              <w:pStyle w:val="NotesTextinTable"/>
            </w:pPr>
            <w:r>
              <w:t>This alarm is generated by the SMU.</w:t>
            </w:r>
          </w:p>
        </w:tc>
        <w:tc>
          <w:tcPr>
            <w:tcW w:w="1020" w:type="pct"/>
            <w:tcBorders>
              <w:top w:val="single" w:sz="6" w:space="0" w:color="000000"/>
              <w:bottom w:val="single" w:sz="6" w:space="0" w:color="000000"/>
              <w:right w:val="single" w:sz="6" w:space="0" w:color="000000"/>
            </w:tcBorders>
          </w:tcPr>
          <w:p>
            <w:pPr>
              <w:pStyle w:val="TableText"/>
            </w:pPr>
            <w:r>
              <w:t>1</w:t>
            </w:r>
          </w:p>
        </w:tc>
        <w:tc>
          <w:tcPr>
            <w:tcW w:w="1020" w:type="pct"/>
            <w:tcBorders>
              <w:top w:val="single" w:sz="6" w:space="0" w:color="000000"/>
              <w:bottom w:val="single" w:sz="6" w:space="0" w:color="000000"/>
              <w:right w:val="single" w:sz="6" w:space="0" w:color="000000"/>
            </w:tcBorders>
          </w:tcPr>
          <w:p>
            <w:pPr>
              <w:pStyle w:val="TableText"/>
            </w:pPr>
            <w:r>
              <w:t>The SMU loads a software package in the faulty state. This alarm is generated after the loading starts.</w:t>
            </w:r>
          </w:p>
          <w:p>
            <w:pPr>
              <w:pStyle w:val="TableText"/>
            </w:pPr>
            <w:r>
              <w:t xml:space="preserve">A clear alarm is reported after the SMU works properly following a successful upgrade. </w:t>
            </w:r>
          </w:p>
        </w:tc>
        <w:tc>
          <w:tcPr>
            <w:tcW w:w="867" w:type="pct"/>
            <w:tcBorders>
              <w:top w:val="single" w:sz="6" w:space="0" w:color="000000"/>
              <w:bottom w:val="single" w:sz="6" w:space="0" w:color="000000"/>
              <w:right w:val="single" w:sz="6" w:space="0" w:color="000000"/>
            </w:tcBorders>
          </w:tcPr>
          <w:p>
            <w:pPr>
              <w:pStyle w:val="TableText"/>
            </w:pPr>
            <w:r>
              <w:t>Yes</w:t>
            </w:r>
          </w:p>
        </w:tc>
        <w:tc>
          <w:tcPr>
            <w:tcW w:w="1122" w:type="pct"/>
            <w:tcBorders>
              <w:top w:val="single" w:sz="6" w:space="0" w:color="000000"/>
              <w:bottom w:val="single" w:sz="6" w:space="0" w:color="000000"/>
            </w:tcBorders>
          </w:tcPr>
          <w:p>
            <w:pPr>
              <w:pStyle w:val="TableText"/>
            </w:pPr>
            <w:r>
              <w:t xml:space="preserve">The communication between the SMU and the control board has recovered. </w:t>
            </w:r>
          </w:p>
          <w:p>
            <w:pPr>
              <w:pStyle w:val="NotesHeadinginTable"/>
            </w:pPr>
            <w:r>
              <w:t>NOTE</w:t>
            </w:r>
          </w:p>
          <w:p>
            <w:pPr>
              <w:pStyle w:val="NotesTextinTable"/>
            </w:pPr>
            <w:r>
              <w:t>This alarm is generated by the SMU.</w:t>
            </w:r>
          </w:p>
        </w:tc>
      </w:tr>
    </w:tbl>
    <w:p/>
    <w:p>
      <w:pPr>
        <w:pStyle w:val="BlockLabel"/>
      </w:pPr>
      <w:r>
        <w:t>Events</w:t>
      </w:r>
    </w:p>
    <w:tbl>
      <w:tblPr>
        <w:tblStyle w:val="Table"/>
        <w:tblW w:w="7938" w:type="dxa"/>
        <w:tblInd w:w="1814" w:type="dxa"/>
        <w:tblLayout w:type="fixed"/>
        <w:tblLook w:val="01E0"/>
      </w:tblPr>
      <w:tblGrid>
        <w:gridCol w:w="1440"/>
        <w:gridCol w:w="1440"/>
        <w:gridCol w:w="1440"/>
      </w:tblGrid>
      <w:tr>
        <w:tblPrEx>
          <w:tblW w:w="7938" w:type="dxa"/>
          <w:tblInd w:w="1814" w:type="dxa"/>
          <w:tblLayout w:type="fixed"/>
          <w:tblLook w:val="01E0"/>
        </w:tblPrEx>
        <w:trPr>
          <w:cantSplit w:val="0"/>
          <w:tblHeader/>
        </w:trPr>
        <w:tc>
          <w:tcPr>
            <w:tcW w:w="959" w:type="pct"/>
            <w:tcBorders>
              <w:top w:val="single" w:sz="6" w:space="0" w:color="000000"/>
              <w:bottom w:val="single" w:sz="6" w:space="0" w:color="000000"/>
              <w:right w:val="single" w:sz="6" w:space="0" w:color="000000"/>
            </w:tcBorders>
            <w:shd w:val="clear" w:color="auto" w:fill="D9D9D9"/>
          </w:tcPr>
          <w:p>
            <w:pPr>
              <w:pStyle w:val="TableHeading"/>
            </w:pPr>
            <w:r>
              <w:t>Event</w:t>
            </w:r>
          </w:p>
        </w:tc>
        <w:tc>
          <w:tcPr>
            <w:tcW w:w="1111" w:type="pct"/>
            <w:tcBorders>
              <w:top w:val="single" w:sz="6" w:space="0" w:color="000000"/>
              <w:bottom w:val="single" w:sz="6" w:space="0" w:color="000000"/>
              <w:right w:val="single" w:sz="6" w:space="0" w:color="000000"/>
            </w:tcBorders>
            <w:shd w:val="clear" w:color="auto" w:fill="D9D9D9"/>
          </w:tcPr>
          <w:p>
            <w:pPr>
              <w:pStyle w:val="TableHeading"/>
            </w:pPr>
            <w:r>
              <w:t>Quantity</w:t>
            </w:r>
          </w:p>
        </w:tc>
        <w:tc>
          <w:tcPr>
            <w:tcW w:w="2929"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959" w:type="pct"/>
            <w:tcBorders>
              <w:top w:val="single" w:sz="6" w:space="0" w:color="000000"/>
              <w:bottom w:val="single" w:sz="6" w:space="0" w:color="000000"/>
              <w:right w:val="single" w:sz="6" w:space="0" w:color="000000"/>
            </w:tcBorders>
          </w:tcPr>
          <w:p>
            <w:pPr>
              <w:pStyle w:val="TableText"/>
            </w:pPr>
            <w:r>
              <w:t>The loading starts</w:t>
            </w:r>
          </w:p>
        </w:tc>
        <w:tc>
          <w:tcPr>
            <w:tcW w:w="1111" w:type="pct"/>
            <w:tcBorders>
              <w:top w:val="single" w:sz="6" w:space="0" w:color="000000"/>
              <w:bottom w:val="single" w:sz="6" w:space="0" w:color="000000"/>
              <w:right w:val="single" w:sz="6" w:space="0" w:color="000000"/>
            </w:tcBorders>
          </w:tcPr>
          <w:p>
            <w:pPr>
              <w:pStyle w:val="TableText"/>
            </w:pPr>
            <w:r>
              <w:t>2</w:t>
            </w:r>
          </w:p>
        </w:tc>
        <w:tc>
          <w:tcPr>
            <w:tcW w:w="2929" w:type="pct"/>
            <w:tcBorders>
              <w:top w:val="single" w:sz="6" w:space="0" w:color="000000"/>
              <w:bottom w:val="single" w:sz="6" w:space="0" w:color="000000"/>
            </w:tcBorders>
          </w:tcPr>
          <w:p>
            <w:pPr>
              <w:pStyle w:val="TableText"/>
            </w:pPr>
            <w:r>
              <w:t>This event is generated when the loading operation starts.</w:t>
            </w:r>
          </w:p>
        </w:tc>
      </w:tr>
      <w:tr>
        <w:tblPrEx>
          <w:tblW w:w="7938" w:type="dxa"/>
          <w:tblInd w:w="1814" w:type="dxa"/>
          <w:tblLayout w:type="fixed"/>
          <w:tblLook w:val="01E0"/>
        </w:tblPrEx>
        <w:trPr>
          <w:cantSplit w:val="0"/>
        </w:trPr>
        <w:tc>
          <w:tcPr>
            <w:tcW w:w="959" w:type="pct"/>
            <w:tcBorders>
              <w:top w:val="single" w:sz="6" w:space="0" w:color="000000"/>
              <w:bottom w:val="single" w:sz="6" w:space="0" w:color="000000"/>
              <w:right w:val="single" w:sz="6" w:space="0" w:color="000000"/>
            </w:tcBorders>
          </w:tcPr>
          <w:p>
            <w:pPr>
              <w:pStyle w:val="TableText"/>
            </w:pPr>
            <w:r>
              <w:t>The loading is successful</w:t>
            </w:r>
          </w:p>
        </w:tc>
        <w:tc>
          <w:tcPr>
            <w:tcW w:w="1111" w:type="pct"/>
            <w:tcBorders>
              <w:top w:val="single" w:sz="6" w:space="0" w:color="000000"/>
              <w:bottom w:val="single" w:sz="6" w:space="0" w:color="000000"/>
              <w:right w:val="single" w:sz="6" w:space="0" w:color="000000"/>
            </w:tcBorders>
          </w:tcPr>
          <w:p>
            <w:pPr>
              <w:pStyle w:val="TableText"/>
            </w:pPr>
            <w:r>
              <w:t>2</w:t>
            </w:r>
          </w:p>
        </w:tc>
        <w:tc>
          <w:tcPr>
            <w:tcW w:w="2929" w:type="pct"/>
            <w:tcBorders>
              <w:top w:val="single" w:sz="6" w:space="0" w:color="000000"/>
              <w:bottom w:val="single" w:sz="6" w:space="0" w:color="000000"/>
            </w:tcBorders>
          </w:tcPr>
          <w:p>
            <w:pPr>
              <w:pStyle w:val="TableText"/>
            </w:pPr>
            <w:r>
              <w:t>This event is generated when the loading operation is complete.</w:t>
            </w:r>
          </w:p>
        </w:tc>
      </w:tr>
      <w:tr>
        <w:tblPrEx>
          <w:tblW w:w="7938" w:type="dxa"/>
          <w:tblInd w:w="1814" w:type="dxa"/>
          <w:tblLayout w:type="fixed"/>
          <w:tblLook w:val="01E0"/>
        </w:tblPrEx>
        <w:trPr>
          <w:cantSplit w:val="0"/>
        </w:trPr>
        <w:tc>
          <w:tcPr>
            <w:tcW w:w="959" w:type="pct"/>
            <w:tcBorders>
              <w:top w:val="single" w:sz="6" w:space="0" w:color="000000"/>
              <w:bottom w:val="single" w:sz="6" w:space="0" w:color="000000"/>
              <w:right w:val="single" w:sz="6" w:space="0" w:color="000000"/>
            </w:tcBorders>
          </w:tcPr>
          <w:p>
            <w:pPr>
              <w:pStyle w:val="TableText"/>
            </w:pPr>
            <w:r>
              <w:t>The device management user goes online and offline.</w:t>
            </w:r>
          </w:p>
        </w:tc>
        <w:tc>
          <w:tcPr>
            <w:tcW w:w="1111" w:type="pct"/>
            <w:tcBorders>
              <w:top w:val="single" w:sz="6" w:space="0" w:color="000000"/>
              <w:bottom w:val="single" w:sz="6" w:space="0" w:color="000000"/>
              <w:right w:val="single" w:sz="6" w:space="0" w:color="000000"/>
            </w:tcBorders>
          </w:tcPr>
          <w:p>
            <w:pPr>
              <w:pStyle w:val="TableText"/>
            </w:pPr>
            <w:r>
              <w:t>Uncertain</w:t>
            </w:r>
          </w:p>
        </w:tc>
        <w:tc>
          <w:tcPr>
            <w:tcW w:w="2929" w:type="pct"/>
            <w:tcBorders>
              <w:top w:val="single" w:sz="6" w:space="0" w:color="000000"/>
              <w:bottom w:val="single" w:sz="6" w:space="0" w:color="000000"/>
            </w:tcBorders>
          </w:tcPr>
          <w:p>
            <w:pPr>
              <w:pStyle w:val="TableText"/>
            </w:pPr>
            <w:r>
              <w:t xml:space="preserve">This event is generated when multiple users log in to or log out of the system through a serial port or by telnet at the same time. </w:t>
            </w:r>
          </w:p>
        </w:tc>
      </w:tr>
    </w:tbl>
    <w:p/>
    <w:sectPr>
      <w:headerReference w:type="even" r:id="rId63"/>
      <w:headerReference w:type="default" r:id="rId64"/>
      <w:footerReference w:type="even" r:id="rId65"/>
      <w:footerReference w:type="default" r:id="rId66"/>
      <w:type w:val="nextPage"/>
      <w:pgSz w:w="11907" w:h="16840" w:code="9"/>
      <w:pgMar w:top="1701" w:right="1134" w:bottom="1701" w:left="1134" w:header="567" w:footer="567" w:gutter="0"/>
      <w:pgNumType w:fmt="decimal"/>
      <w:cols w:space="425"/>
      <w:docGrid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625"/>
      <w:gridCol w:w="3990"/>
      <w:gridCol w:w="3045"/>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625"/>
      <w:gridCol w:w="3990"/>
      <w:gridCol w:w="3045"/>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t>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t>iii</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t>iv</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2</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3</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6</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7</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9</w:t>
          </w:r>
          <w:r>
            <w:fldChar w:fldCharType="end"/>
          </w:r>
        </w:p>
      </w:tc>
    </w:tr>
  </w:tbl>
  <w:p>
    <w:pPr>
      <w:pStyle w:val="HeadingRight"/>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10</w:t>
          </w:r>
          <w:r>
            <w:fldChar w:fldCharType="end"/>
          </w:r>
        </w:p>
      </w:tc>
    </w:tr>
  </w:tbl>
  <w:p>
    <w:pPr>
      <w:pStyle w:val="HeadingRight"/>
      <w:rPr>
        <w:rFonts w:hint="eastAsia"/>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12</w:t>
          </w:r>
          <w:r>
            <w:fldChar w:fldCharType="end"/>
          </w:r>
        </w:p>
      </w:tc>
    </w:tr>
  </w:tbl>
  <w:p>
    <w:pPr>
      <w:pStyle w:val="HeadingRight"/>
      <w:rPr>
        <w:rFonts w:hint="eastAsia"/>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2023-04-17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15</w:t>
          </w:r>
          <w:r>
            <w:fldChar w:fldCharType="end"/>
          </w:r>
        </w:p>
      </w:tc>
    </w:tr>
  </w:tbl>
  <w:p>
    <w:pPr>
      <w:pStyle w:val="HeadingRight"/>
      <w:rPr>
        <w:rFonts w:hint="eastAsia"/>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29"/>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29"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"Heading1 no Number" </w:instrText>
          </w:r>
          <w:r>
            <w:fldChar w:fldCharType="separate"/>
          </w:r>
          <w:r>
            <w:rPr>
              <w:noProof/>
            </w:rPr>
            <w:t>About This Document</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29"/>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29"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"Heading1 no Number" </w:instrText>
          </w:r>
          <w:r>
            <w:fldChar w:fldCharType="separate"/>
          </w:r>
          <w:r>
            <w:t>About This Document</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Before You Start</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Upgrade Flowchart</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Upgrade Preparations</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Upgrade Operation</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Upgrade Verification</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Software Downgrade</w:t>
          </w:r>
          <w:r>
            <w:fldChar w:fldCharType="end"/>
          </w:r>
        </w:p>
      </w:tc>
    </w:tr>
  </w:tbl>
  <w:p>
    <w:pPr>
      <w:pStyle w:val="HeadingRight"/>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7 </w:t>
          </w:r>
          <w:r>
            <w:rPr>
              <w:noProof/>
            </w:rPr>
            <w:fldChar w:fldCharType="end"/>
          </w:r>
          <w:r>
            <w:fldChar w:fldCharType="begin"/>
          </w:r>
          <w:r>
            <w:instrText xml:space="preserve"> STYLEREF  "1"  </w:instrText>
          </w:r>
          <w:r>
            <w:fldChar w:fldCharType="separate"/>
          </w:r>
          <w:r>
            <w:t>Common Troubleshooting</w:t>
          </w:r>
          <w:r>
            <w:fldChar w:fldCharType="end"/>
          </w:r>
        </w:p>
      </w:tc>
    </w:tr>
  </w:tbl>
  <w:p>
    <w:pPr>
      <w:pStyle w:val="HeadingRight"/>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OLT</w:t>
          </w:r>
          <w:r>
            <w:fldChar w:fldCharType="end"/>
          </w:r>
        </w:p>
        <w:p>
          <w:pPr>
            <w:pStyle w:val="HeadingLeft"/>
            <w:rPr>
              <w:rFonts w:cs="Times New Roman"/>
            </w:rPr>
          </w:pPr>
          <w:r>
            <w:fldChar w:fldCharType="begin"/>
          </w:r>
          <w:r>
            <w:instrText xml:space="preserve"> DOCPROPERTY  DocumentName </w:instrText>
          </w:r>
          <w:r>
            <w:fldChar w:fldCharType="separate"/>
          </w:r>
          <w:r>
            <w:t>SMU Upgrade Guide (CLI)</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8 </w:t>
          </w:r>
          <w:r>
            <w:rPr>
              <w:noProof/>
            </w:rPr>
            <w:fldChar w:fldCharType="end"/>
          </w:r>
          <w:r>
            <w:fldChar w:fldCharType="begin"/>
          </w:r>
          <w:r>
            <w:instrText xml:space="preserve"> STYLEREF  "1"  </w:instrText>
          </w:r>
          <w:r>
            <w:fldChar w:fldCharType="separate"/>
          </w:r>
          <w:r>
            <w:t>Appendix</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Word2002TableStyleRules/>
    <w:doNotUseIndentAsNumberingTabStop/>
    <w:splitPgBreakAndParaMark/>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15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rsid w:val="00F613A7"/>
    <w:pPr>
      <w:numPr>
        <w:ilvl w:val="1"/>
        <w:numId w:val="27"/>
      </w:numPr>
      <w:topLinePunct w:val="0"/>
      <w:spacing w:before="200"/>
      <w:outlineLvl w:val="7"/>
    </w:pPr>
    <w:rPr>
      <w:rFonts w:cs="Times New Roman"/>
    </w:rPr>
  </w:style>
  <w:style w:type="paragraph" w:styleId="Heading9">
    <w:name w:val="heading 9"/>
    <w:basedOn w:val="Heading3"/>
    <w:next w:val="Normal"/>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www.huawei.com" TargetMode="External" /><Relationship Id="rId13" Type="http://schemas.openxmlformats.org/officeDocument/2006/relationships/hyperlink" Target="mailto:support@huawei.com"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image" Target="media/image3.png" /><Relationship Id="rId19" Type="http://schemas.openxmlformats.org/officeDocument/2006/relationships/image" Target="media/image4.png" /><Relationship Id="rId2" Type="http://schemas.openxmlformats.org/officeDocument/2006/relationships/webSettings" Target="webSettings.xml" /><Relationship Id="rId20" Type="http://schemas.openxmlformats.org/officeDocument/2006/relationships/image" Target="media/image5.png" /><Relationship Id="rId21" Type="http://schemas.openxmlformats.org/officeDocument/2006/relationships/image" Target="media/image6.png" /><Relationship Id="rId22" Type="http://schemas.openxmlformats.org/officeDocument/2006/relationships/image" Target="media/image7.png" /><Relationship Id="rId23" Type="http://schemas.openxmlformats.org/officeDocument/2006/relationships/header" Target="header6.xml" /><Relationship Id="rId24" Type="http://schemas.openxmlformats.org/officeDocument/2006/relationships/header" Target="header7.xml" /><Relationship Id="rId25" Type="http://schemas.openxmlformats.org/officeDocument/2006/relationships/footer" Target="footer6.xml" /><Relationship Id="rId26" Type="http://schemas.openxmlformats.org/officeDocument/2006/relationships/footer" Target="footer7.xml" /><Relationship Id="rId27" Type="http://schemas.openxmlformats.org/officeDocument/2006/relationships/header" Target="header8.xml" /><Relationship Id="rId28" Type="http://schemas.openxmlformats.org/officeDocument/2006/relationships/header" Target="header9.xml" /><Relationship Id="rId29" Type="http://schemas.openxmlformats.org/officeDocument/2006/relationships/footer" Target="footer8.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header" Target="header10.xml" /><Relationship Id="rId32" Type="http://schemas.openxmlformats.org/officeDocument/2006/relationships/image" Target="media/image8.png" /><Relationship Id="rId33" Type="http://schemas.openxmlformats.org/officeDocument/2006/relationships/image" Target="media/image9.png"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image" Target="media/image10.png" /><Relationship Id="rId39" Type="http://schemas.openxmlformats.org/officeDocument/2006/relationships/header" Target="header13.xml" /><Relationship Id="rId4" Type="http://schemas.openxmlformats.org/officeDocument/2006/relationships/image" Target="media/image1.png" /><Relationship Id="rId40" Type="http://schemas.openxmlformats.org/officeDocument/2006/relationships/header" Target="header14.xml" /><Relationship Id="rId41" Type="http://schemas.openxmlformats.org/officeDocument/2006/relationships/footer" Target="footer12.xml" /><Relationship Id="rId42" Type="http://schemas.openxmlformats.org/officeDocument/2006/relationships/footer" Target="footer13.xml" /><Relationship Id="rId43" Type="http://schemas.openxmlformats.org/officeDocument/2006/relationships/header" Target="header15.xml" /><Relationship Id="rId44" Type="http://schemas.openxmlformats.org/officeDocument/2006/relationships/header" Target="header16.xml" /><Relationship Id="rId45" Type="http://schemas.openxmlformats.org/officeDocument/2006/relationships/footer" Target="footer14.xml" /><Relationship Id="rId46" Type="http://schemas.openxmlformats.org/officeDocument/2006/relationships/footer" Target="footer15.xml" /><Relationship Id="rId47" Type="http://schemas.openxmlformats.org/officeDocument/2006/relationships/header" Target="header17.xml" /><Relationship Id="rId48" Type="http://schemas.openxmlformats.org/officeDocument/2006/relationships/header" Target="header18.xml" /><Relationship Id="rId49" Type="http://schemas.openxmlformats.org/officeDocument/2006/relationships/footer" Target="footer16.xml" /><Relationship Id="rId5" Type="http://schemas.openxmlformats.org/officeDocument/2006/relationships/image" Target="media/image2.png" /><Relationship Id="rId50" Type="http://schemas.openxmlformats.org/officeDocument/2006/relationships/footer" Target="footer17.xml" /><Relationship Id="rId51" Type="http://schemas.openxmlformats.org/officeDocument/2006/relationships/header" Target="header19.xml" /><Relationship Id="rId52" Type="http://schemas.openxmlformats.org/officeDocument/2006/relationships/header" Target="header20.xml" /><Relationship Id="rId53" Type="http://schemas.openxmlformats.org/officeDocument/2006/relationships/footer" Target="footer18.xml" /><Relationship Id="rId54" Type="http://schemas.openxmlformats.org/officeDocument/2006/relationships/footer" Target="footer19.xml" /><Relationship Id="rId55" Type="http://schemas.openxmlformats.org/officeDocument/2006/relationships/header" Target="header21.xml" /><Relationship Id="rId56" Type="http://schemas.openxmlformats.org/officeDocument/2006/relationships/header" Target="header22.xml" /><Relationship Id="rId57" Type="http://schemas.openxmlformats.org/officeDocument/2006/relationships/footer" Target="footer20.xml" /><Relationship Id="rId58" Type="http://schemas.openxmlformats.org/officeDocument/2006/relationships/footer" Target="footer21.xml" /><Relationship Id="rId59" Type="http://schemas.openxmlformats.org/officeDocument/2006/relationships/header" Target="header23.xml" /><Relationship Id="rId6" Type="http://schemas.openxmlformats.org/officeDocument/2006/relationships/header" Target="header1.xml" /><Relationship Id="rId60" Type="http://schemas.openxmlformats.org/officeDocument/2006/relationships/header" Target="header24.xml" /><Relationship Id="rId61" Type="http://schemas.openxmlformats.org/officeDocument/2006/relationships/footer" Target="footer22.xml" /><Relationship Id="rId62" Type="http://schemas.openxmlformats.org/officeDocument/2006/relationships/footer" Target="footer23.xml" /><Relationship Id="rId63" Type="http://schemas.openxmlformats.org/officeDocument/2006/relationships/header" Target="header25.xml" /><Relationship Id="rId64" Type="http://schemas.openxmlformats.org/officeDocument/2006/relationships/header" Target="header26.xml" /><Relationship Id="rId65" Type="http://schemas.openxmlformats.org/officeDocument/2006/relationships/footer" Target="footer24.xml" /><Relationship Id="rId66" Type="http://schemas.openxmlformats.org/officeDocument/2006/relationships/footer" Target="footer25.xml" /><Relationship Id="rId67" Type="http://schemas.openxmlformats.org/officeDocument/2006/relationships/numbering" Target="numbering.xml" /><Relationship Id="rId68"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docProps/app.xml><?xml version="1.0" encoding="utf-8"?>
<Properties xmlns="http://schemas.openxmlformats.org/officeDocument/2006/extended-properties" xmlns:vt="http://schemas.openxmlformats.org/officeDocument/2006/docPropsVTypes">
  <TotalTime>0</TotalTime>
  <Pages>20</Pages>
  <Words>2560</Words>
  <Characters>13513</Characters>
  <Application>Microsoft Office Word</Application>
  <DocSecurity>0</DocSecurity>
  <Lines>0</Lines>
  <Paragraphs>275</Paragraphs>
  <ScaleCrop>false</ScaleCrop>
  <Company>Huawei Technologies Co.,Ltd.</Company>
  <LinksUpToDate>false</LinksUpToDate>
  <CharactersWithSpaces>16480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SMU Upgrade Guide (CLI)</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SMU Upgrade Guide (CLI)</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OLT</vt:lpwstr>
  </property>
  <property fmtid="{D5CDD505-2E9C-101B-9397-08002B2CF9AE}" pid="6" name="ProductVersion">
    <vt:lpwstr/>
  </property>
  <property fmtid="{D5CDD505-2E9C-101B-9397-08002B2CF9AE}" pid="7" name="ProprietaryDeclaration">
    <vt:lpwstr>Copyright © Huawei Technologies Co., Ltd.</vt:lpwstr>
  </property>
  <property fmtid="{D5CDD505-2E9C-101B-9397-08002B2CF9AE}" pid="8" name="ReleaseDate">
    <vt:lpwstr>2023-04-17</vt:lpwstr>
  </property>
  <property fmtid="{D5CDD505-2E9C-101B-9397-08002B2CF9AE}" pid="9" name="SecretLevel">
    <vt:lpwstr>CONFIDENTIAL</vt:lpwstr>
  </property>
  <property fmtid="{D5CDD505-2E9C-101B-9397-08002B2CF9AE}" pid="10" name="Trademark&amp;ProductType">
    <vt:lpwstr>OLT</vt:lpwstr>
  </property>
</Properties>
</file>